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3B5CD" w14:textId="77777777" w:rsidR="00905A03" w:rsidRDefault="00905A03" w:rsidP="00126C78">
      <w:pPr>
        <w:pStyle w:val="Heading1"/>
        <w:contextualSpacing/>
        <w:jc w:val="center"/>
        <w:rPr>
          <w:rFonts w:ascii="Arial" w:hAnsi="Arial" w:cs="Arial"/>
          <w:b/>
          <w:color w:val="auto"/>
          <w:sz w:val="24"/>
          <w:szCs w:val="24"/>
          <w:lang w:val="es-PR"/>
        </w:rPr>
      </w:pPr>
      <w:bookmarkStart w:id="0" w:name="_Toc460502549"/>
      <w:r>
        <w:rPr>
          <w:rFonts w:ascii="Arial" w:hAnsi="Arial" w:cs="Arial"/>
          <w:b/>
          <w:color w:val="auto"/>
          <w:sz w:val="24"/>
          <w:szCs w:val="24"/>
          <w:lang w:val="es-PR"/>
        </w:rPr>
        <w:t>PONENCIA</w:t>
      </w:r>
    </w:p>
    <w:p w14:paraId="774B9C3A" w14:textId="34214CD1" w:rsidR="0027763B" w:rsidRPr="0027763B" w:rsidRDefault="00905A03" w:rsidP="00F334C6">
      <w:pPr>
        <w:pStyle w:val="Heading1"/>
        <w:contextualSpacing/>
        <w:jc w:val="center"/>
        <w:rPr>
          <w:rFonts w:ascii="Arial" w:hAnsi="Arial" w:cs="Arial"/>
          <w:b/>
          <w:color w:val="auto"/>
          <w:sz w:val="24"/>
          <w:szCs w:val="24"/>
          <w:lang w:val="es-PR"/>
        </w:rPr>
      </w:pPr>
      <w:r>
        <w:rPr>
          <w:rFonts w:ascii="Arial" w:hAnsi="Arial" w:cs="Arial"/>
          <w:b/>
          <w:color w:val="auto"/>
          <w:sz w:val="24"/>
          <w:szCs w:val="24"/>
          <w:lang w:val="es-PR"/>
        </w:rPr>
        <w:t>TRANSICIÓN GUBERNAMENTAL 2016</w:t>
      </w:r>
    </w:p>
    <w:p w14:paraId="2AB55329" w14:textId="77777777" w:rsidR="0027763B" w:rsidRPr="0027763B" w:rsidRDefault="0027763B" w:rsidP="00F334C6">
      <w:pPr>
        <w:pStyle w:val="Heading1"/>
        <w:contextualSpacing/>
        <w:rPr>
          <w:rFonts w:ascii="Arial" w:hAnsi="Arial" w:cs="Arial"/>
          <w:b/>
          <w:color w:val="auto"/>
          <w:sz w:val="24"/>
          <w:szCs w:val="24"/>
          <w:lang w:val="es-PR"/>
        </w:rPr>
      </w:pPr>
    </w:p>
    <w:p w14:paraId="1CDF098B" w14:textId="49A6AB47" w:rsidR="00B973DE" w:rsidRDefault="00040020" w:rsidP="00F334C6">
      <w:pPr>
        <w:pStyle w:val="Heading1"/>
        <w:contextualSpacing/>
        <w:rPr>
          <w:rFonts w:ascii="Arial" w:hAnsi="Arial" w:cs="Arial"/>
          <w:b/>
          <w:color w:val="auto"/>
          <w:sz w:val="24"/>
          <w:szCs w:val="24"/>
          <w:u w:val="single"/>
          <w:lang w:val="es-PR"/>
        </w:rPr>
      </w:pPr>
      <w:r w:rsidRPr="00126C78">
        <w:rPr>
          <w:rFonts w:ascii="Arial" w:hAnsi="Arial" w:cs="Arial"/>
          <w:b/>
          <w:color w:val="auto"/>
          <w:sz w:val="24"/>
          <w:szCs w:val="24"/>
          <w:u w:val="single"/>
          <w:lang w:val="es-PR"/>
        </w:rPr>
        <w:t>INTRODUCCIÓN</w:t>
      </w:r>
      <w:bookmarkEnd w:id="0"/>
    </w:p>
    <w:p w14:paraId="11E09D67" w14:textId="77777777" w:rsidR="00BD4A95" w:rsidRDefault="00BD4A95" w:rsidP="00F334C6">
      <w:pPr>
        <w:spacing w:after="0"/>
        <w:contextualSpacing/>
        <w:jc w:val="both"/>
        <w:rPr>
          <w:sz w:val="20"/>
          <w:szCs w:val="20"/>
          <w:lang w:val="es-PR"/>
        </w:rPr>
      </w:pPr>
    </w:p>
    <w:p w14:paraId="764EC621" w14:textId="08A212C7" w:rsidR="0046416F" w:rsidRPr="0027763B" w:rsidRDefault="00B973DE" w:rsidP="00F334C6">
      <w:pPr>
        <w:spacing w:after="0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27763B">
        <w:rPr>
          <w:rFonts w:ascii="Arial" w:hAnsi="Arial" w:cs="Arial"/>
          <w:sz w:val="24"/>
          <w:szCs w:val="24"/>
          <w:lang w:val="es-PR"/>
        </w:rPr>
        <w:t>La Autoridad de Edificios Públicos, en adelante “</w:t>
      </w:r>
      <w:r w:rsidRPr="0027763B">
        <w:rPr>
          <w:rFonts w:ascii="Arial" w:hAnsi="Arial" w:cs="Arial"/>
          <w:i/>
          <w:sz w:val="24"/>
          <w:szCs w:val="24"/>
          <w:lang w:val="es-PR"/>
        </w:rPr>
        <w:t>La Autoridad</w:t>
      </w:r>
      <w:r w:rsidRPr="0027763B">
        <w:rPr>
          <w:rFonts w:ascii="Arial" w:hAnsi="Arial" w:cs="Arial"/>
          <w:sz w:val="24"/>
          <w:szCs w:val="24"/>
          <w:lang w:val="es-PR"/>
        </w:rPr>
        <w:t>”, es una corporación pública constit</w:t>
      </w:r>
      <w:r w:rsidR="00BF2BE2" w:rsidRPr="0027763B">
        <w:rPr>
          <w:rFonts w:ascii="Arial" w:hAnsi="Arial" w:cs="Arial"/>
          <w:sz w:val="24"/>
          <w:szCs w:val="24"/>
          <w:lang w:val="es-PR"/>
        </w:rPr>
        <w:t xml:space="preserve">uida como </w:t>
      </w:r>
      <w:proofErr w:type="spellStart"/>
      <w:r w:rsidR="00BF2BE2" w:rsidRPr="0027763B">
        <w:rPr>
          <w:rFonts w:ascii="Arial" w:hAnsi="Arial" w:cs="Arial"/>
          <w:sz w:val="24"/>
          <w:szCs w:val="24"/>
          <w:lang w:val="es-PR"/>
        </w:rPr>
        <w:t>instrumentalidad</w:t>
      </w:r>
      <w:proofErr w:type="spellEnd"/>
      <w:r w:rsidR="00BF2BE2" w:rsidRPr="0027763B">
        <w:rPr>
          <w:rFonts w:ascii="Arial" w:hAnsi="Arial" w:cs="Arial"/>
          <w:sz w:val="24"/>
          <w:szCs w:val="24"/>
          <w:lang w:val="es-PR"/>
        </w:rPr>
        <w:t xml:space="preserve"> del Estado Libre Asociado </w:t>
      </w:r>
      <w:r w:rsidRPr="0027763B">
        <w:rPr>
          <w:rFonts w:ascii="Arial" w:hAnsi="Arial" w:cs="Arial"/>
          <w:sz w:val="24"/>
          <w:szCs w:val="24"/>
          <w:lang w:val="es-PR"/>
        </w:rPr>
        <w:t xml:space="preserve">de Puerto Rico para ejercer </w:t>
      </w:r>
      <w:r w:rsidR="008E6D89" w:rsidRPr="0027763B">
        <w:rPr>
          <w:rFonts w:ascii="Arial" w:hAnsi="Arial" w:cs="Arial"/>
          <w:sz w:val="24"/>
          <w:szCs w:val="24"/>
          <w:lang w:val="es-PR"/>
        </w:rPr>
        <w:t xml:space="preserve">las </w:t>
      </w:r>
      <w:r w:rsidRPr="0027763B">
        <w:rPr>
          <w:rFonts w:ascii="Arial" w:hAnsi="Arial" w:cs="Arial"/>
          <w:sz w:val="24"/>
          <w:szCs w:val="24"/>
          <w:lang w:val="es-PR"/>
        </w:rPr>
        <w:t xml:space="preserve">funciones públicas esenciales </w:t>
      </w:r>
      <w:r w:rsidR="008E6D89" w:rsidRPr="0027763B">
        <w:rPr>
          <w:rFonts w:ascii="Arial" w:hAnsi="Arial" w:cs="Arial"/>
          <w:sz w:val="24"/>
          <w:szCs w:val="24"/>
          <w:lang w:val="es-PR"/>
        </w:rPr>
        <w:t>conferida</w:t>
      </w:r>
      <w:r w:rsidRPr="0027763B">
        <w:rPr>
          <w:rFonts w:ascii="Arial" w:hAnsi="Arial" w:cs="Arial"/>
          <w:sz w:val="24"/>
          <w:szCs w:val="24"/>
          <w:lang w:val="es-PR"/>
        </w:rPr>
        <w:t xml:space="preserve">s </w:t>
      </w:r>
      <w:r w:rsidR="008E6D89" w:rsidRPr="0027763B">
        <w:rPr>
          <w:rFonts w:ascii="Arial" w:hAnsi="Arial" w:cs="Arial"/>
          <w:sz w:val="24"/>
          <w:szCs w:val="24"/>
          <w:lang w:val="es-PR"/>
        </w:rPr>
        <w:t>por</w:t>
      </w:r>
      <w:r w:rsidRPr="0027763B">
        <w:rPr>
          <w:rFonts w:ascii="Arial" w:hAnsi="Arial" w:cs="Arial"/>
          <w:sz w:val="24"/>
          <w:szCs w:val="24"/>
          <w:lang w:val="es-PR"/>
        </w:rPr>
        <w:t xml:space="preserve"> la Ley Núm. 56, de</w:t>
      </w:r>
      <w:r w:rsidR="001B51E7" w:rsidRPr="0027763B">
        <w:rPr>
          <w:rFonts w:ascii="Arial" w:hAnsi="Arial" w:cs="Arial"/>
          <w:sz w:val="24"/>
          <w:szCs w:val="24"/>
          <w:lang w:val="es-PR"/>
        </w:rPr>
        <w:t>l</w:t>
      </w:r>
      <w:r w:rsidRPr="0027763B">
        <w:rPr>
          <w:rFonts w:ascii="Arial" w:hAnsi="Arial" w:cs="Arial"/>
          <w:sz w:val="24"/>
          <w:szCs w:val="24"/>
          <w:lang w:val="es-PR"/>
        </w:rPr>
        <w:t xml:space="preserve"> 19 de junio de 1958, según enmendada.  Con su creación se declara y se constituye como política del Estado Libre Asociado de Puerto Rico, que sus agencias, </w:t>
      </w:r>
      <w:proofErr w:type="spellStart"/>
      <w:r w:rsidRPr="0027763B">
        <w:rPr>
          <w:rFonts w:ascii="Arial" w:hAnsi="Arial" w:cs="Arial"/>
          <w:sz w:val="24"/>
          <w:szCs w:val="24"/>
          <w:lang w:val="es-PR"/>
        </w:rPr>
        <w:t>instrumentalidades</w:t>
      </w:r>
      <w:proofErr w:type="spellEnd"/>
      <w:r w:rsidRPr="0027763B">
        <w:rPr>
          <w:rFonts w:ascii="Arial" w:hAnsi="Arial" w:cs="Arial"/>
          <w:sz w:val="24"/>
          <w:szCs w:val="24"/>
          <w:lang w:val="es-PR"/>
        </w:rPr>
        <w:t xml:space="preserve">, corporaciones públicas y demás dependencias gubernamentales fomentarán la contratación de los servicios de </w:t>
      </w:r>
      <w:r w:rsidRPr="0027763B">
        <w:rPr>
          <w:rFonts w:ascii="Arial" w:hAnsi="Arial" w:cs="Arial"/>
          <w:i/>
          <w:sz w:val="24"/>
          <w:szCs w:val="24"/>
          <w:lang w:val="es-PR"/>
        </w:rPr>
        <w:t>la Autoridad</w:t>
      </w:r>
      <w:r w:rsidRPr="0027763B">
        <w:rPr>
          <w:rFonts w:ascii="Arial" w:hAnsi="Arial" w:cs="Arial"/>
          <w:sz w:val="24"/>
          <w:szCs w:val="24"/>
          <w:lang w:val="es-PR"/>
        </w:rPr>
        <w:t xml:space="preserve"> para satisfacer sus necesidades de diseño, construcción, remodelación, mejoras, operación y mantenimiento financiadas a través de emisiones de bono. </w:t>
      </w:r>
      <w:r w:rsidR="00D22484" w:rsidRPr="0027763B">
        <w:rPr>
          <w:rFonts w:ascii="Arial" w:hAnsi="Arial" w:cs="Arial"/>
          <w:sz w:val="24"/>
          <w:szCs w:val="24"/>
          <w:lang w:val="es-PR"/>
        </w:rPr>
        <w:t xml:space="preserve"> </w:t>
      </w:r>
      <w:r w:rsidRPr="0027763B">
        <w:rPr>
          <w:rFonts w:ascii="Arial" w:hAnsi="Arial" w:cs="Arial"/>
          <w:sz w:val="24"/>
          <w:szCs w:val="24"/>
          <w:lang w:val="es-PR"/>
        </w:rPr>
        <w:t>En la ac</w:t>
      </w:r>
      <w:r w:rsidR="001B51E7" w:rsidRPr="0027763B">
        <w:rPr>
          <w:rFonts w:ascii="Arial" w:hAnsi="Arial" w:cs="Arial"/>
          <w:sz w:val="24"/>
          <w:szCs w:val="24"/>
          <w:lang w:val="es-PR"/>
        </w:rPr>
        <w:t xml:space="preserve">tualidad, </w:t>
      </w:r>
      <w:r w:rsidR="001B51E7" w:rsidRPr="0027763B">
        <w:rPr>
          <w:rFonts w:ascii="Arial" w:hAnsi="Arial" w:cs="Arial"/>
          <w:i/>
          <w:sz w:val="24"/>
          <w:szCs w:val="24"/>
          <w:lang w:val="es-PR"/>
        </w:rPr>
        <w:t xml:space="preserve">la Autoridad </w:t>
      </w:r>
      <w:r w:rsidR="0027763B" w:rsidRPr="0027763B">
        <w:rPr>
          <w:rFonts w:ascii="Arial" w:hAnsi="Arial" w:cs="Arial"/>
          <w:sz w:val="24"/>
          <w:szCs w:val="24"/>
          <w:lang w:val="es-PR"/>
        </w:rPr>
        <w:t>posee 622</w:t>
      </w:r>
      <w:r w:rsidRPr="0027763B">
        <w:rPr>
          <w:rFonts w:ascii="Arial" w:hAnsi="Arial" w:cs="Arial"/>
          <w:sz w:val="24"/>
          <w:szCs w:val="24"/>
          <w:lang w:val="es-PR"/>
        </w:rPr>
        <w:t xml:space="preserve"> estructuras </w:t>
      </w:r>
      <w:r w:rsidR="00366BD8" w:rsidRPr="0027763B">
        <w:rPr>
          <w:rFonts w:ascii="Arial" w:hAnsi="Arial" w:cs="Arial"/>
          <w:sz w:val="24"/>
          <w:szCs w:val="24"/>
          <w:lang w:val="es-PR"/>
        </w:rPr>
        <w:t xml:space="preserve">a las que se les brinda mantenimiento continuo </w:t>
      </w:r>
      <w:r w:rsidRPr="0027763B">
        <w:rPr>
          <w:rFonts w:ascii="Arial" w:hAnsi="Arial" w:cs="Arial"/>
          <w:sz w:val="24"/>
          <w:szCs w:val="24"/>
          <w:lang w:val="es-PR"/>
        </w:rPr>
        <w:t>localizadas a través de todo Puerto Rico</w:t>
      </w:r>
      <w:r w:rsidR="002231F6" w:rsidRPr="0027763B">
        <w:rPr>
          <w:rFonts w:ascii="Arial" w:hAnsi="Arial" w:cs="Arial"/>
          <w:sz w:val="24"/>
          <w:szCs w:val="24"/>
          <w:lang w:val="es-PR"/>
        </w:rPr>
        <w:t xml:space="preserve">, las cuales se distribuyen en </w:t>
      </w:r>
      <w:r w:rsidRPr="0027763B">
        <w:rPr>
          <w:rFonts w:ascii="Arial" w:hAnsi="Arial" w:cs="Arial"/>
          <w:sz w:val="24"/>
          <w:szCs w:val="24"/>
          <w:lang w:val="es-PR"/>
        </w:rPr>
        <w:t>55 Centros de</w:t>
      </w:r>
      <w:r w:rsidR="001B51E7" w:rsidRPr="0027763B">
        <w:rPr>
          <w:rFonts w:ascii="Arial" w:hAnsi="Arial" w:cs="Arial"/>
          <w:sz w:val="24"/>
          <w:szCs w:val="24"/>
          <w:lang w:val="es-PR"/>
        </w:rPr>
        <w:t xml:space="preserve"> Gobierno, </w:t>
      </w:r>
      <w:r w:rsidR="00384658" w:rsidRPr="0027763B">
        <w:rPr>
          <w:rFonts w:ascii="Arial" w:hAnsi="Arial" w:cs="Arial"/>
          <w:sz w:val="24"/>
          <w:szCs w:val="24"/>
          <w:lang w:val="es-PR"/>
        </w:rPr>
        <w:t>425</w:t>
      </w:r>
      <w:r w:rsidRPr="0027763B">
        <w:rPr>
          <w:rFonts w:ascii="Arial" w:hAnsi="Arial" w:cs="Arial"/>
          <w:sz w:val="24"/>
          <w:szCs w:val="24"/>
          <w:lang w:val="es-PR"/>
        </w:rPr>
        <w:t xml:space="preserve"> Escuelas</w:t>
      </w:r>
      <w:r w:rsidR="001B51E7" w:rsidRPr="0027763B">
        <w:rPr>
          <w:rFonts w:ascii="Arial" w:hAnsi="Arial" w:cs="Arial"/>
          <w:sz w:val="24"/>
          <w:szCs w:val="24"/>
          <w:lang w:val="es-PR"/>
        </w:rPr>
        <w:t xml:space="preserve"> Públicas, 31</w:t>
      </w:r>
      <w:r w:rsidRPr="0027763B">
        <w:rPr>
          <w:rFonts w:ascii="Arial" w:hAnsi="Arial" w:cs="Arial"/>
          <w:sz w:val="24"/>
          <w:szCs w:val="24"/>
          <w:lang w:val="es-PR"/>
        </w:rPr>
        <w:t xml:space="preserve"> Instalaciones de Tribunales</w:t>
      </w:r>
      <w:r w:rsidR="001B51E7" w:rsidRPr="0027763B">
        <w:rPr>
          <w:rFonts w:ascii="Arial" w:hAnsi="Arial" w:cs="Arial"/>
          <w:sz w:val="24"/>
          <w:szCs w:val="24"/>
          <w:lang w:val="es-PR"/>
        </w:rPr>
        <w:t>,</w:t>
      </w:r>
      <w:r w:rsidRPr="0027763B">
        <w:rPr>
          <w:rFonts w:ascii="Arial" w:hAnsi="Arial" w:cs="Arial"/>
          <w:sz w:val="24"/>
          <w:szCs w:val="24"/>
          <w:lang w:val="es-PR"/>
        </w:rPr>
        <w:t xml:space="preserve"> 106 Instalaciones de la Policía</w:t>
      </w:r>
      <w:r w:rsidR="001B51E7" w:rsidRPr="0027763B">
        <w:rPr>
          <w:rFonts w:ascii="Arial" w:hAnsi="Arial" w:cs="Arial"/>
          <w:sz w:val="24"/>
          <w:szCs w:val="24"/>
          <w:lang w:val="es-PR"/>
        </w:rPr>
        <w:t xml:space="preserve"> y 5 estructuras</w:t>
      </w:r>
      <w:r w:rsidR="00F92C5F">
        <w:rPr>
          <w:rFonts w:ascii="Arial" w:hAnsi="Arial" w:cs="Arial"/>
          <w:sz w:val="24"/>
          <w:szCs w:val="24"/>
          <w:lang w:val="es-PR"/>
        </w:rPr>
        <w:t xml:space="preserve"> arrendadas </w:t>
      </w:r>
      <w:r w:rsidR="00366BD8" w:rsidRPr="0027763B">
        <w:rPr>
          <w:rFonts w:ascii="Arial" w:hAnsi="Arial" w:cs="Arial"/>
          <w:sz w:val="24"/>
          <w:szCs w:val="24"/>
          <w:lang w:val="es-PR"/>
        </w:rPr>
        <w:t>al</w:t>
      </w:r>
      <w:r w:rsidR="00012E6D" w:rsidRPr="0027763B">
        <w:rPr>
          <w:rFonts w:ascii="Arial" w:hAnsi="Arial" w:cs="Arial"/>
          <w:sz w:val="24"/>
          <w:szCs w:val="24"/>
          <w:lang w:val="es-PR"/>
        </w:rPr>
        <w:t xml:space="preserve"> Departamento de Justicia</w:t>
      </w:r>
      <w:r w:rsidR="001B51E7" w:rsidRPr="0027763B">
        <w:rPr>
          <w:rFonts w:ascii="Arial" w:hAnsi="Arial" w:cs="Arial"/>
          <w:sz w:val="24"/>
          <w:szCs w:val="24"/>
          <w:lang w:val="es-PR"/>
        </w:rPr>
        <w:t>.</w:t>
      </w:r>
      <w:r w:rsidRPr="0027763B">
        <w:rPr>
          <w:rFonts w:ascii="Arial" w:hAnsi="Arial" w:cs="Arial"/>
          <w:sz w:val="24"/>
          <w:szCs w:val="24"/>
          <w:lang w:val="es-PR"/>
        </w:rPr>
        <w:t xml:space="preserve">  Este servicio lo brindamos con nuestra plantilla de más de mil doscientos</w:t>
      </w:r>
      <w:r w:rsidR="00F92C5F">
        <w:rPr>
          <w:rFonts w:ascii="Arial" w:hAnsi="Arial" w:cs="Arial"/>
          <w:sz w:val="24"/>
          <w:szCs w:val="24"/>
          <w:lang w:val="es-PR"/>
        </w:rPr>
        <w:t xml:space="preserve"> (1,200) empleados </w:t>
      </w:r>
      <w:r w:rsidRPr="0027763B">
        <w:rPr>
          <w:rFonts w:ascii="Arial" w:hAnsi="Arial" w:cs="Arial"/>
          <w:sz w:val="24"/>
          <w:szCs w:val="24"/>
          <w:lang w:val="es-PR"/>
        </w:rPr>
        <w:t xml:space="preserve">asignados alrededor de toda la isla.  Su estructura operacional consta de nueve Regiones de Conservación y Mantenimiento ubicadas en Aguadilla, Arecibo, Bayamón, Caguas, Carolina, Humacao, Guayama, Mayagüez y Ponce.  Nuestra estructura organizacional está compuesta en primer lugar por las Áreas de Conservación </w:t>
      </w:r>
      <w:r w:rsidR="00271B6B" w:rsidRPr="0027763B">
        <w:rPr>
          <w:rFonts w:ascii="Arial" w:hAnsi="Arial" w:cs="Arial"/>
          <w:sz w:val="24"/>
          <w:szCs w:val="24"/>
          <w:lang w:val="es-PR"/>
        </w:rPr>
        <w:t xml:space="preserve">y Mantenimiento </w:t>
      </w:r>
      <w:r w:rsidRPr="0027763B">
        <w:rPr>
          <w:rFonts w:ascii="Arial" w:hAnsi="Arial" w:cs="Arial"/>
          <w:sz w:val="24"/>
          <w:szCs w:val="24"/>
          <w:lang w:val="es-PR"/>
        </w:rPr>
        <w:t xml:space="preserve">y Desarrollo de Proyectos.  Además, las </w:t>
      </w:r>
      <w:r w:rsidRPr="0027763B">
        <w:rPr>
          <w:rFonts w:ascii="Arial" w:hAnsi="Arial" w:cs="Arial"/>
          <w:sz w:val="24"/>
          <w:szCs w:val="24"/>
          <w:lang w:val="es-ES"/>
        </w:rPr>
        <w:t>Oficinas de Auditoría, Contraloría, Seguridad, Administrac</w:t>
      </w:r>
      <w:r w:rsidR="00F92C5F">
        <w:rPr>
          <w:rFonts w:ascii="Arial" w:hAnsi="Arial" w:cs="Arial"/>
          <w:sz w:val="24"/>
          <w:szCs w:val="24"/>
          <w:lang w:val="es-ES"/>
        </w:rPr>
        <w:t>ión, Servicios Legales y</w:t>
      </w:r>
      <w:r w:rsidRPr="0027763B">
        <w:rPr>
          <w:rFonts w:ascii="Arial" w:hAnsi="Arial" w:cs="Arial"/>
          <w:sz w:val="24"/>
          <w:szCs w:val="24"/>
          <w:lang w:val="es-ES"/>
        </w:rPr>
        <w:t xml:space="preserve"> Recursos Humanos les sirven de apoyo a las dos áreas principales, antes mencionadas.</w:t>
      </w:r>
      <w:r w:rsidR="0046416F" w:rsidRPr="0027763B">
        <w:rPr>
          <w:rFonts w:ascii="Arial" w:hAnsi="Arial" w:cs="Arial"/>
          <w:sz w:val="24"/>
          <w:szCs w:val="24"/>
          <w:lang w:val="es-ES"/>
        </w:rPr>
        <w:t xml:space="preserve">  </w:t>
      </w:r>
      <w:r w:rsidR="00113B0F" w:rsidRPr="0027763B">
        <w:rPr>
          <w:rFonts w:ascii="Arial" w:hAnsi="Arial" w:cs="Arial"/>
          <w:sz w:val="24"/>
          <w:szCs w:val="24"/>
          <w:lang w:val="es-PR"/>
        </w:rPr>
        <w:t xml:space="preserve">La única fuente de ingresos de </w:t>
      </w:r>
      <w:r w:rsidR="00113B0F" w:rsidRPr="0027763B">
        <w:rPr>
          <w:rFonts w:ascii="Arial" w:hAnsi="Arial" w:cs="Arial"/>
          <w:i/>
          <w:sz w:val="24"/>
          <w:szCs w:val="24"/>
          <w:lang w:val="es-PR"/>
        </w:rPr>
        <w:t>la Autoridad</w:t>
      </w:r>
      <w:r w:rsidR="00113B0F" w:rsidRPr="0027763B">
        <w:rPr>
          <w:rFonts w:ascii="Arial" w:hAnsi="Arial" w:cs="Arial"/>
          <w:sz w:val="24"/>
          <w:szCs w:val="24"/>
          <w:lang w:val="es-PR"/>
        </w:rPr>
        <w:t xml:space="preserve"> consiste en los cánones de arrendamientos estipulados en los contratos con sus inquilinos, principalmente agencias del gobierno central y corporaciones públicas.  Este canon sirve de garantía a los bonos emitidos por </w:t>
      </w:r>
      <w:r w:rsidR="00113B0F" w:rsidRPr="0027763B">
        <w:rPr>
          <w:rFonts w:ascii="Arial" w:hAnsi="Arial" w:cs="Arial"/>
          <w:i/>
          <w:sz w:val="24"/>
          <w:szCs w:val="24"/>
          <w:lang w:val="es-PR"/>
        </w:rPr>
        <w:t>la Autoridad</w:t>
      </w:r>
      <w:r w:rsidR="00113B0F" w:rsidRPr="0027763B">
        <w:rPr>
          <w:rFonts w:ascii="Arial" w:hAnsi="Arial" w:cs="Arial"/>
          <w:sz w:val="24"/>
          <w:szCs w:val="24"/>
          <w:lang w:val="es-PR"/>
        </w:rPr>
        <w:t>.</w:t>
      </w:r>
    </w:p>
    <w:p w14:paraId="5CE653A7" w14:textId="77777777" w:rsidR="0046416F" w:rsidRPr="0027763B" w:rsidRDefault="0046416F" w:rsidP="0027763B">
      <w:pPr>
        <w:spacing w:after="0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4CF8A724" w14:textId="480A7298" w:rsidR="00A660B7" w:rsidRPr="0027763B" w:rsidRDefault="0046416F" w:rsidP="0027763B">
      <w:pPr>
        <w:spacing w:after="0"/>
        <w:contextualSpacing/>
        <w:jc w:val="both"/>
        <w:rPr>
          <w:rFonts w:ascii="Arial" w:hAnsi="Arial" w:cs="Arial"/>
          <w:sz w:val="24"/>
          <w:szCs w:val="24"/>
          <w:lang w:val="es-PR"/>
        </w:rPr>
      </w:pPr>
      <w:r w:rsidRPr="0027763B">
        <w:rPr>
          <w:rFonts w:ascii="Arial" w:hAnsi="Arial" w:cs="Arial"/>
          <w:sz w:val="24"/>
          <w:szCs w:val="24"/>
          <w:lang w:val="es-PR"/>
        </w:rPr>
        <w:t xml:space="preserve">Cabe señalar que en </w:t>
      </w:r>
      <w:r w:rsidRPr="0027763B">
        <w:rPr>
          <w:rFonts w:ascii="Arial" w:hAnsi="Arial" w:cs="Arial"/>
          <w:i/>
          <w:sz w:val="24"/>
          <w:szCs w:val="24"/>
          <w:lang w:val="es-PR"/>
        </w:rPr>
        <w:t>la</w:t>
      </w:r>
      <w:r w:rsidR="00D22484" w:rsidRPr="0027763B">
        <w:rPr>
          <w:rFonts w:ascii="Arial" w:hAnsi="Arial" w:cs="Arial"/>
          <w:i/>
          <w:sz w:val="24"/>
          <w:szCs w:val="24"/>
          <w:lang w:val="es-PR"/>
        </w:rPr>
        <w:t xml:space="preserve"> Autoridad</w:t>
      </w:r>
      <w:r w:rsidR="00D22484" w:rsidRPr="0027763B">
        <w:rPr>
          <w:rFonts w:ascii="Arial" w:hAnsi="Arial" w:cs="Arial"/>
          <w:sz w:val="24"/>
          <w:szCs w:val="24"/>
          <w:lang w:val="es-PR"/>
        </w:rPr>
        <w:t xml:space="preserve"> existen dos </w:t>
      </w:r>
      <w:r w:rsidR="00A0591E" w:rsidRPr="0027763B">
        <w:rPr>
          <w:rFonts w:ascii="Arial" w:hAnsi="Arial" w:cs="Arial"/>
          <w:sz w:val="24"/>
          <w:szCs w:val="24"/>
          <w:lang w:val="es-PR"/>
        </w:rPr>
        <w:t>Sindicatos</w:t>
      </w:r>
      <w:r w:rsidR="00D22484" w:rsidRPr="0027763B">
        <w:rPr>
          <w:rFonts w:ascii="Arial" w:hAnsi="Arial" w:cs="Arial"/>
          <w:sz w:val="24"/>
          <w:szCs w:val="24"/>
          <w:lang w:val="es-PR"/>
        </w:rPr>
        <w:t xml:space="preserve"> y una </w:t>
      </w:r>
      <w:r w:rsidR="001B51E7" w:rsidRPr="0027763B">
        <w:rPr>
          <w:rFonts w:ascii="Arial" w:hAnsi="Arial" w:cs="Arial"/>
          <w:sz w:val="24"/>
          <w:szCs w:val="24"/>
          <w:lang w:val="es-PR"/>
        </w:rPr>
        <w:t>Asociación de Gerenciales.  Esta</w:t>
      </w:r>
      <w:r w:rsidR="00D22484" w:rsidRPr="0027763B">
        <w:rPr>
          <w:rFonts w:ascii="Arial" w:hAnsi="Arial" w:cs="Arial"/>
          <w:sz w:val="24"/>
          <w:szCs w:val="24"/>
          <w:lang w:val="es-PR"/>
        </w:rPr>
        <w:t>s son: La Unión de Empleados de Of</w:t>
      </w:r>
      <w:r w:rsidR="00A0591E" w:rsidRPr="0027763B">
        <w:rPr>
          <w:rFonts w:ascii="Arial" w:hAnsi="Arial" w:cs="Arial"/>
          <w:sz w:val="24"/>
          <w:szCs w:val="24"/>
          <w:lang w:val="es-PR"/>
        </w:rPr>
        <w:t xml:space="preserve">icina y Profesionales de </w:t>
      </w:r>
      <w:r w:rsidR="00A0591E" w:rsidRPr="0027763B">
        <w:rPr>
          <w:rFonts w:ascii="Arial" w:hAnsi="Arial" w:cs="Arial"/>
          <w:i/>
          <w:sz w:val="24"/>
          <w:szCs w:val="24"/>
          <w:lang w:val="es-PR"/>
        </w:rPr>
        <w:t xml:space="preserve">la </w:t>
      </w:r>
      <w:r w:rsidR="00455455" w:rsidRPr="0027763B">
        <w:rPr>
          <w:rFonts w:ascii="Arial" w:hAnsi="Arial" w:cs="Arial"/>
          <w:i/>
          <w:sz w:val="24"/>
          <w:szCs w:val="24"/>
          <w:lang w:val="es-PR"/>
        </w:rPr>
        <w:t>Autoridad</w:t>
      </w:r>
      <w:r w:rsidR="00A0591E" w:rsidRPr="0027763B">
        <w:rPr>
          <w:rFonts w:ascii="Arial" w:hAnsi="Arial" w:cs="Arial"/>
          <w:sz w:val="24"/>
          <w:szCs w:val="24"/>
          <w:lang w:val="es-PR"/>
        </w:rPr>
        <w:t>, l</w:t>
      </w:r>
      <w:r w:rsidR="00D22484" w:rsidRPr="0027763B">
        <w:rPr>
          <w:rFonts w:ascii="Arial" w:hAnsi="Arial" w:cs="Arial"/>
          <w:sz w:val="24"/>
          <w:szCs w:val="24"/>
          <w:lang w:val="es-PR"/>
        </w:rPr>
        <w:t xml:space="preserve">a Unión Independiente </w:t>
      </w:r>
      <w:r w:rsidR="00455455" w:rsidRPr="0027763B">
        <w:rPr>
          <w:rFonts w:ascii="Arial" w:hAnsi="Arial" w:cs="Arial"/>
          <w:sz w:val="24"/>
          <w:szCs w:val="24"/>
          <w:lang w:val="es-PR"/>
        </w:rPr>
        <w:t xml:space="preserve">de Empleados de </w:t>
      </w:r>
      <w:r w:rsidR="00455455" w:rsidRPr="0027763B">
        <w:rPr>
          <w:rFonts w:ascii="Arial" w:hAnsi="Arial" w:cs="Arial"/>
          <w:i/>
          <w:sz w:val="24"/>
          <w:szCs w:val="24"/>
          <w:lang w:val="es-PR"/>
        </w:rPr>
        <w:t>la Autoridad</w:t>
      </w:r>
      <w:r w:rsidR="00D22484" w:rsidRPr="0027763B">
        <w:rPr>
          <w:rFonts w:ascii="Arial" w:hAnsi="Arial" w:cs="Arial"/>
          <w:sz w:val="24"/>
          <w:szCs w:val="24"/>
          <w:lang w:val="es-PR"/>
        </w:rPr>
        <w:t xml:space="preserve"> y la Asociación de Gerenciales. </w:t>
      </w:r>
      <w:r w:rsidR="001B5F85" w:rsidRPr="0027763B">
        <w:rPr>
          <w:rFonts w:ascii="Arial" w:hAnsi="Arial" w:cs="Arial"/>
          <w:sz w:val="24"/>
          <w:szCs w:val="24"/>
          <w:lang w:val="es-PR"/>
        </w:rPr>
        <w:t xml:space="preserve"> A continuación le presentamos el Informe de Logros de </w:t>
      </w:r>
      <w:r w:rsidR="001B5F85" w:rsidRPr="0027763B">
        <w:rPr>
          <w:rFonts w:ascii="Arial" w:hAnsi="Arial" w:cs="Arial"/>
          <w:i/>
          <w:sz w:val="24"/>
          <w:szCs w:val="24"/>
          <w:lang w:val="es-PR"/>
        </w:rPr>
        <w:t>la Autoridad</w:t>
      </w:r>
      <w:r w:rsidR="001B5F85" w:rsidRPr="0027763B">
        <w:rPr>
          <w:rFonts w:ascii="Arial" w:hAnsi="Arial" w:cs="Arial"/>
          <w:sz w:val="24"/>
          <w:szCs w:val="24"/>
          <w:lang w:val="es-PR"/>
        </w:rPr>
        <w:t>.</w:t>
      </w:r>
    </w:p>
    <w:p w14:paraId="561AD299" w14:textId="53EBD69D" w:rsidR="005F7E87" w:rsidRPr="00126C78" w:rsidRDefault="005F7E87" w:rsidP="0027763B">
      <w:pPr>
        <w:pStyle w:val="Heading1"/>
        <w:contextualSpacing/>
        <w:rPr>
          <w:rFonts w:ascii="Arial" w:hAnsi="Arial" w:cs="Arial"/>
          <w:b/>
          <w:color w:val="auto"/>
          <w:sz w:val="24"/>
          <w:szCs w:val="24"/>
          <w:u w:val="single"/>
          <w:lang w:val="es-ES"/>
        </w:rPr>
      </w:pPr>
      <w:bookmarkStart w:id="1" w:name="_Toc460502550"/>
      <w:r w:rsidRPr="00126C78">
        <w:rPr>
          <w:rFonts w:ascii="Arial" w:hAnsi="Arial" w:cs="Arial"/>
          <w:b/>
          <w:color w:val="auto"/>
          <w:sz w:val="24"/>
          <w:szCs w:val="24"/>
          <w:u w:val="single"/>
          <w:lang w:val="es-ES"/>
        </w:rPr>
        <w:t>MÉTODOS DE REDUCCIÓN DE GASTOS</w:t>
      </w:r>
      <w:bookmarkEnd w:id="1"/>
    </w:p>
    <w:p w14:paraId="422BB1CA" w14:textId="3EE2AF7A" w:rsidR="00801D2B" w:rsidRPr="000E3754" w:rsidRDefault="006C736F" w:rsidP="000E3754">
      <w:pPr>
        <w:pStyle w:val="pestanatexto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="Arial" w:hAnsi="Arial" w:cs="Arial"/>
          <w:color w:val="auto"/>
          <w:sz w:val="24"/>
          <w:szCs w:val="24"/>
          <w:lang w:val="es-ES"/>
        </w:rPr>
      </w:pPr>
      <w:r w:rsidRPr="0027763B">
        <w:rPr>
          <w:rFonts w:ascii="Arial" w:hAnsi="Arial" w:cs="Arial"/>
          <w:color w:val="auto"/>
          <w:sz w:val="24"/>
          <w:szCs w:val="24"/>
          <w:lang w:val="es-PR"/>
        </w:rPr>
        <w:t>Pago de</w:t>
      </w:r>
      <w:r w:rsidR="00384829" w:rsidRPr="0027763B">
        <w:rPr>
          <w:rFonts w:ascii="Arial" w:hAnsi="Arial" w:cs="Arial"/>
          <w:color w:val="auto"/>
          <w:sz w:val="24"/>
          <w:szCs w:val="24"/>
          <w:lang w:val="es-PR"/>
        </w:rPr>
        <w:t xml:space="preserve"> hasta</w:t>
      </w:r>
      <w:r w:rsidR="00B92BF7" w:rsidRPr="0027763B">
        <w:rPr>
          <w:rFonts w:ascii="Arial" w:hAnsi="Arial" w:cs="Arial"/>
          <w:color w:val="auto"/>
          <w:sz w:val="24"/>
          <w:szCs w:val="24"/>
          <w:lang w:val="es-PR"/>
        </w:rPr>
        <w:t xml:space="preserve"> </w:t>
      </w:r>
      <w:r w:rsidRPr="0027763B">
        <w:rPr>
          <w:rFonts w:ascii="Arial" w:hAnsi="Arial" w:cs="Arial"/>
          <w:color w:val="auto"/>
          <w:sz w:val="24"/>
          <w:szCs w:val="24"/>
          <w:lang w:val="es-PR"/>
        </w:rPr>
        <w:t xml:space="preserve">un máximo de </w:t>
      </w:r>
      <w:r w:rsidR="00B92BF7" w:rsidRPr="0027763B">
        <w:rPr>
          <w:rFonts w:ascii="Arial" w:hAnsi="Arial" w:cs="Arial"/>
          <w:color w:val="auto"/>
          <w:sz w:val="24"/>
          <w:szCs w:val="24"/>
          <w:lang w:val="es-PR"/>
        </w:rPr>
        <w:t xml:space="preserve">500 millas mensuales </w:t>
      </w:r>
      <w:r w:rsidR="00934B06" w:rsidRPr="0027763B">
        <w:rPr>
          <w:rFonts w:ascii="Arial" w:hAnsi="Arial" w:cs="Arial"/>
          <w:color w:val="auto"/>
          <w:sz w:val="24"/>
          <w:szCs w:val="24"/>
          <w:lang w:val="es-ES"/>
        </w:rPr>
        <w:t xml:space="preserve">por concepto de </w:t>
      </w:r>
      <w:proofErr w:type="spellStart"/>
      <w:r w:rsidR="00934B06" w:rsidRPr="0027763B">
        <w:rPr>
          <w:rFonts w:ascii="Arial" w:hAnsi="Arial" w:cs="Arial"/>
          <w:color w:val="auto"/>
          <w:sz w:val="24"/>
          <w:szCs w:val="24"/>
          <w:lang w:val="es-ES"/>
        </w:rPr>
        <w:t>millaje</w:t>
      </w:r>
      <w:proofErr w:type="spellEnd"/>
      <w:r w:rsidR="00934B06" w:rsidRPr="0027763B">
        <w:rPr>
          <w:rFonts w:ascii="Arial" w:hAnsi="Arial" w:cs="Arial"/>
          <w:color w:val="auto"/>
          <w:sz w:val="24"/>
          <w:szCs w:val="24"/>
          <w:lang w:val="es-ES"/>
        </w:rPr>
        <w:t xml:space="preserve"> </w:t>
      </w:r>
      <w:r w:rsidR="00384829" w:rsidRPr="0027763B">
        <w:rPr>
          <w:rFonts w:ascii="Arial" w:hAnsi="Arial" w:cs="Arial"/>
          <w:color w:val="auto"/>
          <w:sz w:val="24"/>
          <w:szCs w:val="24"/>
          <w:lang w:val="es-ES"/>
        </w:rPr>
        <w:t>al</w:t>
      </w:r>
      <w:r w:rsidR="00934B06" w:rsidRPr="0027763B">
        <w:rPr>
          <w:rFonts w:ascii="Arial" w:hAnsi="Arial" w:cs="Arial"/>
          <w:color w:val="auto"/>
          <w:sz w:val="24"/>
          <w:szCs w:val="24"/>
          <w:lang w:val="es-ES"/>
        </w:rPr>
        <w:t xml:space="preserve"> personal de confia</w:t>
      </w:r>
      <w:r w:rsidR="00384829" w:rsidRPr="0027763B">
        <w:rPr>
          <w:rFonts w:ascii="Arial" w:hAnsi="Arial" w:cs="Arial"/>
          <w:color w:val="auto"/>
          <w:sz w:val="24"/>
          <w:szCs w:val="24"/>
          <w:lang w:val="es-ES"/>
        </w:rPr>
        <w:t>nza y gerenciales,</w:t>
      </w:r>
      <w:r w:rsidR="00934B06" w:rsidRPr="0027763B">
        <w:rPr>
          <w:rFonts w:ascii="Arial" w:hAnsi="Arial" w:cs="Arial"/>
          <w:color w:val="auto"/>
          <w:sz w:val="24"/>
          <w:szCs w:val="24"/>
          <w:lang w:val="es-ES"/>
        </w:rPr>
        <w:t xml:space="preserve"> lo que representa un ahorro aproximado de $190,000 anuales.</w:t>
      </w:r>
    </w:p>
    <w:p w14:paraId="21506302" w14:textId="4E32DFEA" w:rsidR="00801D2B" w:rsidRPr="000E3754" w:rsidRDefault="00B92BF7" w:rsidP="000E3754">
      <w:pPr>
        <w:pStyle w:val="pestanatexto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="Arial" w:hAnsi="Arial" w:cs="Arial"/>
          <w:color w:val="auto"/>
          <w:sz w:val="24"/>
          <w:szCs w:val="24"/>
          <w:lang w:val="es-ES"/>
        </w:rPr>
      </w:pPr>
      <w:r w:rsidRPr="0027763B">
        <w:rPr>
          <w:rFonts w:ascii="Arial" w:hAnsi="Arial" w:cs="Arial"/>
          <w:color w:val="auto"/>
          <w:sz w:val="24"/>
          <w:szCs w:val="24"/>
          <w:lang w:val="es-ES"/>
        </w:rPr>
        <w:t>La s</w:t>
      </w:r>
      <w:r w:rsidR="00934B06" w:rsidRPr="0027763B">
        <w:rPr>
          <w:rFonts w:ascii="Arial" w:hAnsi="Arial" w:cs="Arial"/>
          <w:color w:val="auto"/>
          <w:sz w:val="24"/>
          <w:szCs w:val="24"/>
          <w:lang w:val="es-ES"/>
        </w:rPr>
        <w:t xml:space="preserve">uspensión del pago de dietas y </w:t>
      </w:r>
      <w:proofErr w:type="spellStart"/>
      <w:r w:rsidR="00934B06" w:rsidRPr="0027763B">
        <w:rPr>
          <w:rFonts w:ascii="Arial" w:hAnsi="Arial" w:cs="Arial"/>
          <w:color w:val="auto"/>
          <w:sz w:val="24"/>
          <w:szCs w:val="24"/>
          <w:lang w:val="es-ES"/>
        </w:rPr>
        <w:t>millaje</w:t>
      </w:r>
      <w:proofErr w:type="spellEnd"/>
      <w:r w:rsidR="00934B06" w:rsidRPr="0027763B">
        <w:rPr>
          <w:rFonts w:ascii="Arial" w:hAnsi="Arial" w:cs="Arial"/>
          <w:color w:val="auto"/>
          <w:sz w:val="24"/>
          <w:szCs w:val="24"/>
          <w:lang w:val="es-ES"/>
        </w:rPr>
        <w:t xml:space="preserve"> a los miembros de la Junta de Directores de </w:t>
      </w:r>
      <w:r w:rsidR="00934B06" w:rsidRPr="0027763B">
        <w:rPr>
          <w:rFonts w:ascii="Arial" w:hAnsi="Arial" w:cs="Arial"/>
          <w:i/>
          <w:color w:val="auto"/>
          <w:sz w:val="24"/>
          <w:szCs w:val="24"/>
          <w:lang w:val="es-ES"/>
        </w:rPr>
        <w:t>la Autoridad</w:t>
      </w:r>
      <w:r w:rsidR="00934B06" w:rsidRPr="0027763B">
        <w:rPr>
          <w:rFonts w:ascii="Arial" w:hAnsi="Arial" w:cs="Arial"/>
          <w:color w:val="auto"/>
          <w:sz w:val="24"/>
          <w:szCs w:val="24"/>
          <w:lang w:val="es-ES"/>
        </w:rPr>
        <w:t>.</w:t>
      </w:r>
    </w:p>
    <w:p w14:paraId="3D91BA14" w14:textId="73321BC2" w:rsidR="00801D2B" w:rsidRPr="000E3754" w:rsidRDefault="003E0390" w:rsidP="000E3754">
      <w:pPr>
        <w:pStyle w:val="pestanatexto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="Arial" w:hAnsi="Arial" w:cs="Arial"/>
          <w:color w:val="auto"/>
          <w:sz w:val="24"/>
          <w:szCs w:val="24"/>
          <w:lang w:val="es-ES"/>
        </w:rPr>
      </w:pPr>
      <w:r w:rsidRPr="0027763B">
        <w:rPr>
          <w:rFonts w:ascii="Arial" w:hAnsi="Arial" w:cs="Arial"/>
          <w:color w:val="auto"/>
          <w:sz w:val="24"/>
          <w:szCs w:val="24"/>
          <w:lang w:val="es-ES"/>
        </w:rPr>
        <w:t>Se eliminó e</w:t>
      </w:r>
      <w:r w:rsidR="00934B06" w:rsidRPr="0027763B">
        <w:rPr>
          <w:rFonts w:ascii="Arial" w:hAnsi="Arial" w:cs="Arial"/>
          <w:color w:val="auto"/>
          <w:sz w:val="24"/>
          <w:szCs w:val="24"/>
          <w:lang w:val="es-ES"/>
        </w:rPr>
        <w:t>l uso ilimitado de</w:t>
      </w:r>
      <w:r w:rsidR="006569B6" w:rsidRPr="0027763B">
        <w:rPr>
          <w:rFonts w:ascii="Arial" w:hAnsi="Arial" w:cs="Arial"/>
          <w:color w:val="auto"/>
          <w:sz w:val="24"/>
          <w:szCs w:val="24"/>
          <w:lang w:val="es-ES"/>
        </w:rPr>
        <w:t xml:space="preserve"> los vehículos oficiales </w:t>
      </w:r>
      <w:r w:rsidRPr="0027763B">
        <w:rPr>
          <w:rFonts w:ascii="Arial" w:hAnsi="Arial" w:cs="Arial"/>
          <w:color w:val="auto"/>
          <w:sz w:val="24"/>
          <w:szCs w:val="24"/>
          <w:lang w:val="es-ES"/>
        </w:rPr>
        <w:t>para el personal de confianza. S</w:t>
      </w:r>
      <w:r w:rsidR="006569B6" w:rsidRPr="0027763B">
        <w:rPr>
          <w:rFonts w:ascii="Arial" w:hAnsi="Arial" w:cs="Arial"/>
          <w:color w:val="auto"/>
          <w:sz w:val="24"/>
          <w:szCs w:val="24"/>
          <w:lang w:val="es-ES"/>
        </w:rPr>
        <w:t>u</w:t>
      </w:r>
      <w:r w:rsidR="00934B06" w:rsidRPr="0027763B">
        <w:rPr>
          <w:rFonts w:ascii="Arial" w:hAnsi="Arial" w:cs="Arial"/>
          <w:color w:val="auto"/>
          <w:sz w:val="24"/>
          <w:szCs w:val="24"/>
          <w:lang w:val="es-ES"/>
        </w:rPr>
        <w:t xml:space="preserve"> traslado</w:t>
      </w:r>
      <w:r w:rsidR="006569B6" w:rsidRPr="0027763B">
        <w:rPr>
          <w:rFonts w:ascii="Arial" w:hAnsi="Arial" w:cs="Arial"/>
          <w:color w:val="auto"/>
          <w:sz w:val="24"/>
          <w:szCs w:val="24"/>
          <w:lang w:val="es-ES"/>
        </w:rPr>
        <w:t xml:space="preserve"> para las gestiones oficiales</w:t>
      </w:r>
      <w:r w:rsidR="00934B06" w:rsidRPr="0027763B">
        <w:rPr>
          <w:rFonts w:ascii="Arial" w:hAnsi="Arial" w:cs="Arial"/>
          <w:color w:val="auto"/>
          <w:sz w:val="24"/>
          <w:szCs w:val="24"/>
          <w:lang w:val="es-ES"/>
        </w:rPr>
        <w:t xml:space="preserve"> </w:t>
      </w:r>
      <w:r w:rsidR="006569B6" w:rsidRPr="0027763B">
        <w:rPr>
          <w:rFonts w:ascii="Arial" w:hAnsi="Arial" w:cs="Arial"/>
          <w:color w:val="auto"/>
          <w:sz w:val="24"/>
          <w:szCs w:val="24"/>
          <w:lang w:val="es-ES"/>
        </w:rPr>
        <w:t>se realiza</w:t>
      </w:r>
      <w:r w:rsidR="00934B06" w:rsidRPr="0027763B">
        <w:rPr>
          <w:rFonts w:ascii="Arial" w:hAnsi="Arial" w:cs="Arial"/>
          <w:color w:val="auto"/>
          <w:sz w:val="24"/>
          <w:szCs w:val="24"/>
          <w:lang w:val="es-ES"/>
        </w:rPr>
        <w:t xml:space="preserve"> a través del </w:t>
      </w:r>
      <w:r w:rsidR="007A1D02" w:rsidRPr="0027763B">
        <w:rPr>
          <w:rFonts w:ascii="Arial" w:hAnsi="Arial" w:cs="Arial"/>
          <w:color w:val="auto"/>
          <w:sz w:val="24"/>
          <w:szCs w:val="24"/>
          <w:lang w:val="es-ES"/>
        </w:rPr>
        <w:t>transporte oficial (“</w:t>
      </w:r>
      <w:r w:rsidR="00934B06" w:rsidRPr="0027763B">
        <w:rPr>
          <w:rFonts w:ascii="Arial" w:hAnsi="Arial" w:cs="Arial"/>
          <w:color w:val="auto"/>
          <w:sz w:val="24"/>
          <w:szCs w:val="24"/>
          <w:lang w:val="es-ES"/>
        </w:rPr>
        <w:t>motor pool</w:t>
      </w:r>
      <w:r w:rsidR="007A1D02" w:rsidRPr="0027763B">
        <w:rPr>
          <w:rFonts w:ascii="Arial" w:hAnsi="Arial" w:cs="Arial"/>
          <w:color w:val="auto"/>
          <w:sz w:val="24"/>
          <w:szCs w:val="24"/>
          <w:lang w:val="es-ES"/>
        </w:rPr>
        <w:t>”)</w:t>
      </w:r>
      <w:r w:rsidR="006569B6" w:rsidRPr="0027763B">
        <w:rPr>
          <w:rFonts w:ascii="Arial" w:hAnsi="Arial" w:cs="Arial"/>
          <w:color w:val="auto"/>
          <w:sz w:val="24"/>
          <w:szCs w:val="24"/>
          <w:lang w:val="es-ES"/>
        </w:rPr>
        <w:t>, esto</w:t>
      </w:r>
      <w:r w:rsidR="00934B06" w:rsidRPr="0027763B">
        <w:rPr>
          <w:rFonts w:ascii="Arial" w:hAnsi="Arial" w:cs="Arial"/>
          <w:color w:val="auto"/>
          <w:sz w:val="24"/>
          <w:szCs w:val="24"/>
          <w:lang w:val="es-ES"/>
        </w:rPr>
        <w:t xml:space="preserve"> representa un ahorro aproximado de $50,000 anuales. </w:t>
      </w:r>
    </w:p>
    <w:p w14:paraId="7AE01DD8" w14:textId="2CC0807D" w:rsidR="00801D2B" w:rsidRPr="000E3754" w:rsidRDefault="00934B06" w:rsidP="000E3754">
      <w:pPr>
        <w:pStyle w:val="pestanatexto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="Arial" w:hAnsi="Arial" w:cs="Arial"/>
          <w:color w:val="auto"/>
          <w:sz w:val="24"/>
          <w:szCs w:val="24"/>
          <w:lang w:val="es-ES"/>
        </w:rPr>
      </w:pPr>
      <w:r w:rsidRPr="0027763B">
        <w:rPr>
          <w:rFonts w:ascii="Arial" w:hAnsi="Arial" w:cs="Arial"/>
          <w:color w:val="auto"/>
          <w:sz w:val="24"/>
          <w:szCs w:val="24"/>
          <w:lang w:val="es-ES"/>
        </w:rPr>
        <w:t xml:space="preserve">El uso de teléfonos celulares se canceló lo que </w:t>
      </w:r>
      <w:r w:rsidR="006569B6" w:rsidRPr="0027763B">
        <w:rPr>
          <w:rFonts w:ascii="Arial" w:hAnsi="Arial" w:cs="Arial"/>
          <w:color w:val="auto"/>
          <w:sz w:val="24"/>
          <w:szCs w:val="24"/>
          <w:lang w:val="es-ES"/>
        </w:rPr>
        <w:t>constituye</w:t>
      </w:r>
      <w:r w:rsidRPr="0027763B">
        <w:rPr>
          <w:rFonts w:ascii="Arial" w:hAnsi="Arial" w:cs="Arial"/>
          <w:color w:val="auto"/>
          <w:sz w:val="24"/>
          <w:szCs w:val="24"/>
          <w:lang w:val="es-ES"/>
        </w:rPr>
        <w:t xml:space="preserve"> un ahorro de $15,000 anuales.</w:t>
      </w:r>
    </w:p>
    <w:p w14:paraId="474096E3" w14:textId="334D8C24" w:rsidR="00801D2B" w:rsidRPr="000E3754" w:rsidRDefault="006569B6" w:rsidP="000E3754">
      <w:pPr>
        <w:pStyle w:val="pestanatexto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="Arial" w:hAnsi="Arial" w:cs="Arial"/>
          <w:color w:val="auto"/>
          <w:sz w:val="24"/>
          <w:szCs w:val="24"/>
          <w:lang w:val="es-ES"/>
        </w:rPr>
      </w:pPr>
      <w:r w:rsidRPr="0027763B">
        <w:rPr>
          <w:rFonts w:ascii="Arial" w:hAnsi="Arial" w:cs="Arial"/>
          <w:color w:val="auto"/>
          <w:sz w:val="24"/>
          <w:szCs w:val="24"/>
          <w:lang w:val="es-ES"/>
        </w:rPr>
        <w:lastRenderedPageBreak/>
        <w:t xml:space="preserve">Se ahorraron alrededor de $2.5 millones mediante la reducción de </w:t>
      </w:r>
      <w:r w:rsidR="00934B06" w:rsidRPr="0027763B">
        <w:rPr>
          <w:rFonts w:ascii="Arial" w:hAnsi="Arial" w:cs="Arial"/>
          <w:color w:val="auto"/>
          <w:sz w:val="24"/>
          <w:szCs w:val="24"/>
          <w:lang w:val="es-ES"/>
        </w:rPr>
        <w:t>un 55%</w:t>
      </w:r>
      <w:r w:rsidRPr="0027763B">
        <w:rPr>
          <w:rFonts w:ascii="Arial" w:hAnsi="Arial" w:cs="Arial"/>
          <w:color w:val="auto"/>
          <w:sz w:val="24"/>
          <w:szCs w:val="24"/>
          <w:lang w:val="es-ES"/>
        </w:rPr>
        <w:t xml:space="preserve"> en los servicios de cámaras de seguridad,</w:t>
      </w:r>
      <w:r w:rsidR="007949AE" w:rsidRPr="0027763B">
        <w:rPr>
          <w:rFonts w:ascii="Arial" w:hAnsi="Arial" w:cs="Arial"/>
          <w:color w:val="auto"/>
          <w:sz w:val="24"/>
          <w:szCs w:val="24"/>
          <w:lang w:val="es-ES"/>
        </w:rPr>
        <w:t xml:space="preserve"> ello</w:t>
      </w:r>
      <w:r w:rsidRPr="0027763B">
        <w:rPr>
          <w:rFonts w:ascii="Arial" w:hAnsi="Arial" w:cs="Arial"/>
          <w:color w:val="auto"/>
          <w:sz w:val="24"/>
          <w:szCs w:val="24"/>
          <w:lang w:val="es-ES"/>
        </w:rPr>
        <w:t xml:space="preserve"> sin comprometer la seguridad de nuestros inquilinos y la propiedad pública.</w:t>
      </w:r>
    </w:p>
    <w:p w14:paraId="7123B3A4" w14:textId="368B291D" w:rsidR="007E2FC7" w:rsidRPr="000E3754" w:rsidRDefault="00934B06" w:rsidP="000E3754">
      <w:pPr>
        <w:pStyle w:val="pestanatexto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="Arial" w:hAnsi="Arial" w:cs="Arial"/>
          <w:color w:val="auto"/>
          <w:sz w:val="24"/>
          <w:szCs w:val="24"/>
          <w:lang w:val="es-ES"/>
        </w:rPr>
      </w:pPr>
      <w:r w:rsidRPr="0027763B">
        <w:rPr>
          <w:rFonts w:ascii="Arial" w:hAnsi="Arial" w:cs="Arial"/>
          <w:color w:val="auto"/>
          <w:sz w:val="24"/>
          <w:szCs w:val="24"/>
          <w:lang w:val="es-ES"/>
        </w:rPr>
        <w:t xml:space="preserve">El pago de horas extras se </w:t>
      </w:r>
      <w:r w:rsidR="00B26B81" w:rsidRPr="0027763B">
        <w:rPr>
          <w:rFonts w:ascii="Arial" w:hAnsi="Arial" w:cs="Arial"/>
          <w:color w:val="auto"/>
          <w:sz w:val="24"/>
          <w:szCs w:val="24"/>
          <w:lang w:val="es-ES"/>
        </w:rPr>
        <w:t>limitó</w:t>
      </w:r>
      <w:r w:rsidRPr="0027763B">
        <w:rPr>
          <w:rFonts w:ascii="Arial" w:hAnsi="Arial" w:cs="Arial"/>
          <w:color w:val="auto"/>
          <w:sz w:val="24"/>
          <w:szCs w:val="24"/>
          <w:lang w:val="es-ES"/>
        </w:rPr>
        <w:t xml:space="preserve">  a</w:t>
      </w:r>
      <w:r w:rsidR="00B26B81" w:rsidRPr="0027763B">
        <w:rPr>
          <w:rFonts w:ascii="Arial" w:hAnsi="Arial" w:cs="Arial"/>
          <w:color w:val="auto"/>
          <w:sz w:val="24"/>
          <w:szCs w:val="24"/>
          <w:lang w:val="es-ES"/>
        </w:rPr>
        <w:t xml:space="preserve"> los</w:t>
      </w:r>
      <w:r w:rsidRPr="0027763B">
        <w:rPr>
          <w:rFonts w:ascii="Arial" w:hAnsi="Arial" w:cs="Arial"/>
          <w:color w:val="auto"/>
          <w:sz w:val="24"/>
          <w:szCs w:val="24"/>
          <w:lang w:val="es-ES"/>
        </w:rPr>
        <w:t xml:space="preserve"> casos de emergencia o extrema necesidad</w:t>
      </w:r>
      <w:r w:rsidR="00EB26DA" w:rsidRPr="0027763B">
        <w:rPr>
          <w:rFonts w:ascii="Arial" w:hAnsi="Arial" w:cs="Arial"/>
          <w:color w:val="auto"/>
          <w:sz w:val="24"/>
          <w:szCs w:val="24"/>
          <w:lang w:val="es-ES"/>
        </w:rPr>
        <w:t>,</w:t>
      </w:r>
      <w:r w:rsidR="00C17DF2" w:rsidRPr="0027763B">
        <w:rPr>
          <w:rFonts w:ascii="Arial" w:hAnsi="Arial" w:cs="Arial"/>
          <w:color w:val="auto"/>
          <w:sz w:val="24"/>
          <w:szCs w:val="24"/>
          <w:lang w:val="es-ES"/>
        </w:rPr>
        <w:t xml:space="preserve"> aun cuando la naturaleza de los servicios que brindamos nos requiere atender las situaciones que surjan en cualquier momento.  </w:t>
      </w:r>
      <w:r w:rsidR="00345E4B" w:rsidRPr="0027763B">
        <w:rPr>
          <w:rFonts w:ascii="Arial" w:hAnsi="Arial" w:cs="Arial"/>
          <w:color w:val="auto"/>
          <w:sz w:val="24"/>
          <w:szCs w:val="24"/>
          <w:lang w:val="es-ES"/>
        </w:rPr>
        <w:t>Como medida de mitigación, en colaboración</w:t>
      </w:r>
      <w:r w:rsidR="00B26B81" w:rsidRPr="0027763B">
        <w:rPr>
          <w:rFonts w:ascii="Arial" w:hAnsi="Arial" w:cs="Arial"/>
          <w:color w:val="auto"/>
          <w:sz w:val="24"/>
          <w:szCs w:val="24"/>
          <w:lang w:val="es-PR"/>
        </w:rPr>
        <w:t xml:space="preserve"> con la Unión Independiente de Empleados de </w:t>
      </w:r>
      <w:r w:rsidR="00B26B81" w:rsidRPr="0027763B">
        <w:rPr>
          <w:rFonts w:ascii="Arial" w:hAnsi="Arial" w:cs="Arial"/>
          <w:i/>
          <w:color w:val="auto"/>
          <w:sz w:val="24"/>
          <w:szCs w:val="24"/>
          <w:lang w:val="es-PR"/>
        </w:rPr>
        <w:t>la Autoridad</w:t>
      </w:r>
      <w:r w:rsidR="00C71C5E" w:rsidRPr="0027763B">
        <w:rPr>
          <w:rFonts w:ascii="Arial" w:hAnsi="Arial" w:cs="Arial"/>
          <w:color w:val="auto"/>
          <w:sz w:val="24"/>
          <w:szCs w:val="24"/>
          <w:lang w:val="es-ES"/>
        </w:rPr>
        <w:t xml:space="preserve"> y la Asociación de Empleados </w:t>
      </w:r>
      <w:r w:rsidR="00B26B81" w:rsidRPr="0027763B">
        <w:rPr>
          <w:rFonts w:ascii="Arial" w:hAnsi="Arial" w:cs="Arial"/>
          <w:color w:val="auto"/>
          <w:sz w:val="24"/>
          <w:szCs w:val="24"/>
          <w:lang w:val="es-ES"/>
        </w:rPr>
        <w:t xml:space="preserve">Gerenciales, </w:t>
      </w:r>
      <w:r w:rsidR="00C71C5E" w:rsidRPr="0027763B">
        <w:rPr>
          <w:rFonts w:ascii="Arial" w:hAnsi="Arial" w:cs="Arial"/>
          <w:color w:val="auto"/>
          <w:sz w:val="24"/>
          <w:szCs w:val="24"/>
          <w:lang w:val="es-ES"/>
        </w:rPr>
        <w:t>establecimos</w:t>
      </w:r>
      <w:r w:rsidRPr="0027763B">
        <w:rPr>
          <w:rFonts w:ascii="Arial" w:hAnsi="Arial" w:cs="Arial"/>
          <w:color w:val="auto"/>
          <w:sz w:val="24"/>
          <w:szCs w:val="24"/>
          <w:lang w:val="es-PR"/>
        </w:rPr>
        <w:t xml:space="preserve"> </w:t>
      </w:r>
      <w:r w:rsidR="00B26B81" w:rsidRPr="0027763B">
        <w:rPr>
          <w:rFonts w:ascii="Arial" w:hAnsi="Arial" w:cs="Arial"/>
          <w:color w:val="auto"/>
          <w:sz w:val="24"/>
          <w:szCs w:val="24"/>
          <w:lang w:val="es-PR"/>
        </w:rPr>
        <w:t>jornadas de trabajo</w:t>
      </w:r>
      <w:r w:rsidR="006A7D43" w:rsidRPr="0027763B">
        <w:rPr>
          <w:rFonts w:ascii="Arial" w:hAnsi="Arial" w:cs="Arial"/>
          <w:color w:val="auto"/>
          <w:sz w:val="24"/>
          <w:szCs w:val="24"/>
          <w:lang w:val="es-PR"/>
        </w:rPr>
        <w:t xml:space="preserve"> </w:t>
      </w:r>
      <w:r w:rsidR="00271B6B" w:rsidRPr="0027763B">
        <w:rPr>
          <w:rFonts w:ascii="Arial" w:hAnsi="Arial" w:cs="Arial"/>
          <w:color w:val="auto"/>
          <w:sz w:val="24"/>
          <w:szCs w:val="24"/>
          <w:lang w:val="es-PR"/>
        </w:rPr>
        <w:t xml:space="preserve">a </w:t>
      </w:r>
      <w:r w:rsidR="006A7D43" w:rsidRPr="0027763B">
        <w:rPr>
          <w:rFonts w:ascii="Arial" w:hAnsi="Arial" w:cs="Arial"/>
          <w:color w:val="auto"/>
          <w:sz w:val="24"/>
          <w:szCs w:val="24"/>
          <w:lang w:val="es-PR"/>
        </w:rPr>
        <w:t>24</w:t>
      </w:r>
      <w:r w:rsidRPr="0027763B">
        <w:rPr>
          <w:rFonts w:ascii="Arial" w:hAnsi="Arial" w:cs="Arial"/>
          <w:color w:val="auto"/>
          <w:sz w:val="24"/>
          <w:szCs w:val="24"/>
          <w:lang w:val="es-PR"/>
        </w:rPr>
        <w:t xml:space="preserve"> empleados</w:t>
      </w:r>
      <w:r w:rsidR="00271B6B" w:rsidRPr="0027763B">
        <w:rPr>
          <w:rFonts w:ascii="Arial" w:hAnsi="Arial" w:cs="Arial"/>
          <w:color w:val="auto"/>
          <w:sz w:val="24"/>
          <w:szCs w:val="24"/>
          <w:lang w:val="es-PR"/>
        </w:rPr>
        <w:t>,</w:t>
      </w:r>
      <w:r w:rsidRPr="0027763B">
        <w:rPr>
          <w:rFonts w:ascii="Arial" w:hAnsi="Arial" w:cs="Arial"/>
          <w:color w:val="auto"/>
          <w:sz w:val="24"/>
          <w:szCs w:val="24"/>
          <w:lang w:val="es-PR"/>
        </w:rPr>
        <w:t xml:space="preserve"> de martes a sábado en un horario de 7:00 am a 3:30 pm de los cuales </w:t>
      </w:r>
      <w:r w:rsidR="006A7D43" w:rsidRPr="0027763B">
        <w:rPr>
          <w:rFonts w:ascii="Arial" w:hAnsi="Arial" w:cs="Arial"/>
          <w:color w:val="auto"/>
          <w:sz w:val="24"/>
          <w:szCs w:val="24"/>
          <w:lang w:val="es-PR"/>
        </w:rPr>
        <w:t>21</w:t>
      </w:r>
      <w:r w:rsidRPr="0027763B">
        <w:rPr>
          <w:rFonts w:ascii="Arial" w:hAnsi="Arial" w:cs="Arial"/>
          <w:color w:val="auto"/>
          <w:sz w:val="24"/>
          <w:szCs w:val="24"/>
          <w:lang w:val="es-PR"/>
        </w:rPr>
        <w:t xml:space="preserve"> pertenecen a la Unión Independiente y </w:t>
      </w:r>
      <w:r w:rsidR="006A7D43" w:rsidRPr="0027763B">
        <w:rPr>
          <w:rFonts w:ascii="Arial" w:hAnsi="Arial" w:cs="Arial"/>
          <w:color w:val="auto"/>
          <w:sz w:val="24"/>
          <w:szCs w:val="24"/>
          <w:lang w:val="es-PR"/>
        </w:rPr>
        <w:t>3</w:t>
      </w:r>
      <w:r w:rsidRPr="0027763B">
        <w:rPr>
          <w:rFonts w:ascii="Arial" w:hAnsi="Arial" w:cs="Arial"/>
          <w:color w:val="auto"/>
          <w:sz w:val="24"/>
          <w:szCs w:val="24"/>
          <w:lang w:val="es-PR"/>
        </w:rPr>
        <w:t xml:space="preserve"> son empleados Gerenciales.  </w:t>
      </w:r>
      <w:r w:rsidR="00C71C5E" w:rsidRPr="0027763B">
        <w:rPr>
          <w:rFonts w:ascii="Arial" w:hAnsi="Arial" w:cs="Arial"/>
          <w:color w:val="auto"/>
          <w:sz w:val="24"/>
          <w:szCs w:val="24"/>
          <w:lang w:val="es-PR"/>
        </w:rPr>
        <w:t>También</w:t>
      </w:r>
      <w:r w:rsidRPr="0027763B">
        <w:rPr>
          <w:rFonts w:ascii="Arial" w:hAnsi="Arial" w:cs="Arial"/>
          <w:color w:val="auto"/>
          <w:sz w:val="24"/>
          <w:szCs w:val="24"/>
          <w:lang w:val="es-PR"/>
        </w:rPr>
        <w:t xml:space="preserve">, </w:t>
      </w:r>
      <w:r w:rsidR="00C71C5E" w:rsidRPr="0027763B">
        <w:rPr>
          <w:rFonts w:ascii="Arial" w:hAnsi="Arial" w:cs="Arial"/>
          <w:color w:val="auto"/>
          <w:sz w:val="24"/>
          <w:szCs w:val="24"/>
          <w:lang w:val="es-PR"/>
        </w:rPr>
        <w:t>modificamos</w:t>
      </w:r>
      <w:r w:rsidRPr="0027763B">
        <w:rPr>
          <w:rFonts w:ascii="Arial" w:hAnsi="Arial" w:cs="Arial"/>
          <w:color w:val="auto"/>
          <w:sz w:val="24"/>
          <w:szCs w:val="24"/>
          <w:lang w:val="es-PR"/>
        </w:rPr>
        <w:t xml:space="preserve"> el horario de 31 empleados</w:t>
      </w:r>
      <w:r w:rsidR="00B26B81" w:rsidRPr="0027763B">
        <w:rPr>
          <w:rFonts w:ascii="Arial" w:hAnsi="Arial" w:cs="Arial"/>
          <w:color w:val="auto"/>
          <w:sz w:val="24"/>
          <w:szCs w:val="24"/>
          <w:lang w:val="es-PR"/>
        </w:rPr>
        <w:t xml:space="preserve"> noc</w:t>
      </w:r>
      <w:r w:rsidR="00F92C5F">
        <w:rPr>
          <w:rFonts w:ascii="Arial" w:hAnsi="Arial" w:cs="Arial"/>
          <w:color w:val="auto"/>
          <w:sz w:val="24"/>
          <w:szCs w:val="24"/>
          <w:lang w:val="es-PR"/>
        </w:rPr>
        <w:t>turnos de mantenimiento de 1:00</w:t>
      </w:r>
      <w:r w:rsidR="00B26B81" w:rsidRPr="0027763B">
        <w:rPr>
          <w:rFonts w:ascii="Arial" w:hAnsi="Arial" w:cs="Arial"/>
          <w:color w:val="auto"/>
          <w:sz w:val="24"/>
          <w:szCs w:val="24"/>
          <w:lang w:val="es-PR"/>
        </w:rPr>
        <w:t>pm a 9</w:t>
      </w:r>
      <w:r w:rsidRPr="0027763B">
        <w:rPr>
          <w:rFonts w:ascii="Arial" w:hAnsi="Arial" w:cs="Arial"/>
          <w:color w:val="auto"/>
          <w:sz w:val="24"/>
          <w:szCs w:val="24"/>
          <w:lang w:val="es-PR"/>
        </w:rPr>
        <w:t xml:space="preserve">:00pm.  </w:t>
      </w:r>
      <w:r w:rsidR="00B26B81" w:rsidRPr="0027763B">
        <w:rPr>
          <w:rFonts w:ascii="Arial" w:hAnsi="Arial" w:cs="Arial"/>
          <w:color w:val="auto"/>
          <w:sz w:val="24"/>
          <w:szCs w:val="24"/>
          <w:lang w:val="es-PR"/>
        </w:rPr>
        <w:t xml:space="preserve">Las medidas antes mencionadas redundan en un </w:t>
      </w:r>
      <w:r w:rsidR="00B26B81" w:rsidRPr="0027763B">
        <w:rPr>
          <w:rFonts w:ascii="Arial" w:hAnsi="Arial" w:cs="Arial"/>
          <w:b/>
          <w:color w:val="auto"/>
          <w:sz w:val="24"/>
          <w:szCs w:val="24"/>
          <w:lang w:val="es-PR"/>
        </w:rPr>
        <w:t xml:space="preserve">ahorro de aproximadamente </w:t>
      </w:r>
      <w:r w:rsidR="00724D9F" w:rsidRPr="0027763B">
        <w:rPr>
          <w:rFonts w:ascii="Arial" w:hAnsi="Arial" w:cs="Arial"/>
          <w:b/>
          <w:color w:val="auto"/>
          <w:sz w:val="24"/>
          <w:szCs w:val="24"/>
          <w:lang w:val="es-ES"/>
        </w:rPr>
        <w:t>$7</w:t>
      </w:r>
      <w:r w:rsidRPr="0027763B">
        <w:rPr>
          <w:rFonts w:ascii="Arial" w:hAnsi="Arial" w:cs="Arial"/>
          <w:b/>
          <w:color w:val="auto"/>
          <w:sz w:val="24"/>
          <w:szCs w:val="24"/>
          <w:lang w:val="es-ES"/>
        </w:rPr>
        <w:t>00,000 anuales.</w:t>
      </w:r>
      <w:r w:rsidRPr="0027763B">
        <w:rPr>
          <w:rFonts w:ascii="Arial" w:hAnsi="Arial" w:cs="Arial"/>
          <w:color w:val="auto"/>
          <w:sz w:val="24"/>
          <w:szCs w:val="24"/>
          <w:lang w:val="es-ES"/>
        </w:rPr>
        <w:t xml:space="preserve"> </w:t>
      </w:r>
    </w:p>
    <w:p w14:paraId="45C6BF60" w14:textId="10FA8A8B" w:rsidR="007E2FC7" w:rsidRDefault="00113B0F" w:rsidP="00B57FA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s-PR"/>
        </w:rPr>
      </w:pPr>
      <w:r w:rsidRPr="00126C78">
        <w:rPr>
          <w:rFonts w:ascii="Arial" w:hAnsi="Arial" w:cs="Arial"/>
          <w:sz w:val="24"/>
          <w:szCs w:val="24"/>
          <w:lang w:val="es-PR"/>
        </w:rPr>
        <w:t>El Presupuesto Operacional aprobado para el año fiscal</w:t>
      </w:r>
      <w:r w:rsidR="00F92C5F" w:rsidRPr="00126C78">
        <w:rPr>
          <w:rFonts w:ascii="Arial" w:hAnsi="Arial" w:cs="Arial"/>
          <w:sz w:val="24"/>
          <w:szCs w:val="24"/>
          <w:lang w:val="es-PR"/>
        </w:rPr>
        <w:t xml:space="preserve"> 2012</w:t>
      </w:r>
      <w:r w:rsidR="008751E9" w:rsidRPr="00126C78">
        <w:rPr>
          <w:rFonts w:ascii="Arial" w:hAnsi="Arial" w:cs="Arial"/>
          <w:sz w:val="24"/>
          <w:szCs w:val="24"/>
          <w:lang w:val="es-PR"/>
        </w:rPr>
        <w:t>-2013 y</w:t>
      </w:r>
      <w:r w:rsidRPr="00126C78">
        <w:rPr>
          <w:rFonts w:ascii="Arial" w:hAnsi="Arial" w:cs="Arial"/>
          <w:sz w:val="24"/>
          <w:szCs w:val="24"/>
          <w:lang w:val="es-PR"/>
        </w:rPr>
        <w:t xml:space="preserve"> 2013-2014 fue de $143 millones, </w:t>
      </w:r>
      <w:r w:rsidR="00F92C5F" w:rsidRPr="00126C78">
        <w:rPr>
          <w:rFonts w:ascii="Arial" w:hAnsi="Arial" w:cs="Arial"/>
          <w:sz w:val="24"/>
          <w:szCs w:val="24"/>
          <w:lang w:val="es-PR"/>
        </w:rPr>
        <w:t>sin embargo para el 2014-2015, y el</w:t>
      </w:r>
      <w:r w:rsidRPr="00126C78">
        <w:rPr>
          <w:rFonts w:ascii="Arial" w:hAnsi="Arial" w:cs="Arial"/>
          <w:sz w:val="24"/>
          <w:szCs w:val="24"/>
          <w:lang w:val="es-PR"/>
        </w:rPr>
        <w:t xml:space="preserve"> 2015-2016 </w:t>
      </w:r>
      <w:r w:rsidR="00614491" w:rsidRPr="00126C78">
        <w:rPr>
          <w:rFonts w:ascii="Arial" w:hAnsi="Arial" w:cs="Arial"/>
          <w:sz w:val="24"/>
          <w:szCs w:val="24"/>
          <w:lang w:val="es-PR"/>
        </w:rPr>
        <w:t xml:space="preserve">fue </w:t>
      </w:r>
      <w:r w:rsidRPr="00126C78">
        <w:rPr>
          <w:rFonts w:ascii="Arial" w:hAnsi="Arial" w:cs="Arial"/>
          <w:sz w:val="24"/>
          <w:szCs w:val="24"/>
          <w:lang w:val="es-PR"/>
        </w:rPr>
        <w:t>de $1</w:t>
      </w:r>
      <w:r w:rsidR="00F92C5F" w:rsidRPr="00126C78">
        <w:rPr>
          <w:rFonts w:ascii="Arial" w:hAnsi="Arial" w:cs="Arial"/>
          <w:sz w:val="24"/>
          <w:szCs w:val="24"/>
          <w:lang w:val="es-PR"/>
        </w:rPr>
        <w:t>35 millones y para el 2016-2017</w:t>
      </w:r>
      <w:r w:rsidRPr="00126C78">
        <w:rPr>
          <w:rFonts w:ascii="Arial" w:hAnsi="Arial" w:cs="Arial"/>
          <w:sz w:val="24"/>
          <w:szCs w:val="24"/>
          <w:lang w:val="es-PR"/>
        </w:rPr>
        <w:t xml:space="preserve"> se redujo a $115 millones, esto implica una </w:t>
      </w:r>
      <w:r w:rsidR="00614491" w:rsidRPr="00126C78">
        <w:rPr>
          <w:rFonts w:ascii="Arial" w:hAnsi="Arial" w:cs="Arial"/>
          <w:sz w:val="24"/>
          <w:szCs w:val="24"/>
          <w:lang w:val="es-PR"/>
        </w:rPr>
        <w:t xml:space="preserve">reducción </w:t>
      </w:r>
      <w:r w:rsidRPr="00126C78">
        <w:rPr>
          <w:rFonts w:ascii="Arial" w:hAnsi="Arial" w:cs="Arial"/>
          <w:sz w:val="24"/>
          <w:szCs w:val="24"/>
          <w:lang w:val="es-PR"/>
        </w:rPr>
        <w:t xml:space="preserve">de </w:t>
      </w:r>
      <w:r w:rsidR="00614491" w:rsidRPr="00126C78">
        <w:rPr>
          <w:rFonts w:ascii="Arial" w:hAnsi="Arial" w:cs="Arial"/>
          <w:sz w:val="24"/>
          <w:szCs w:val="24"/>
          <w:lang w:val="es-PR"/>
        </w:rPr>
        <w:t xml:space="preserve">un 20% con respecto al año fiscal 2012-2013 y un </w:t>
      </w:r>
      <w:r w:rsidR="00E17876">
        <w:rPr>
          <w:rFonts w:ascii="Arial" w:hAnsi="Arial" w:cs="Arial"/>
          <w:sz w:val="24"/>
          <w:szCs w:val="24"/>
          <w:lang w:val="es-PR"/>
        </w:rPr>
        <w:t>15%</w:t>
      </w:r>
      <w:r w:rsidR="00614491" w:rsidRPr="00126C78">
        <w:rPr>
          <w:rFonts w:ascii="Arial" w:hAnsi="Arial" w:cs="Arial"/>
          <w:sz w:val="24"/>
          <w:szCs w:val="24"/>
          <w:lang w:val="es-PR"/>
        </w:rPr>
        <w:t xml:space="preserve"> con respecto a los pasados dos (2) años fiscales</w:t>
      </w:r>
      <w:r w:rsidR="00126C78" w:rsidRPr="00126C78">
        <w:rPr>
          <w:rFonts w:ascii="Arial" w:hAnsi="Arial" w:cs="Arial"/>
          <w:sz w:val="24"/>
          <w:szCs w:val="24"/>
          <w:lang w:val="es-PR"/>
        </w:rPr>
        <w:t>,</w:t>
      </w:r>
      <w:r w:rsidR="00F92C5F" w:rsidRPr="00126C78">
        <w:rPr>
          <w:rFonts w:ascii="Arial" w:hAnsi="Arial" w:cs="Arial"/>
          <w:sz w:val="24"/>
          <w:szCs w:val="24"/>
          <w:lang w:val="es-PR"/>
        </w:rPr>
        <w:t xml:space="preserve"> a</w:t>
      </w:r>
      <w:r w:rsidRPr="00126C78">
        <w:rPr>
          <w:rFonts w:ascii="Arial" w:hAnsi="Arial" w:cs="Arial"/>
          <w:sz w:val="24"/>
          <w:szCs w:val="24"/>
          <w:lang w:val="es-PR"/>
        </w:rPr>
        <w:t xml:space="preserve"> tenor con el Memorando General Núm. 433-15 de la Oficina de Gerencia y Presupuesto (OGP) el cual establece que el presupuesto del próximo año fiscal debe ser menor o igual al del año en curso.  </w:t>
      </w:r>
    </w:p>
    <w:p w14:paraId="4AA2020C" w14:textId="3010A65D" w:rsidR="00126C78" w:rsidRPr="00BD4A95" w:rsidRDefault="00126C78" w:rsidP="00126C78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En resumen, s</w:t>
      </w:r>
      <w:r w:rsidRPr="000D3172">
        <w:rPr>
          <w:rFonts w:ascii="Arial" w:hAnsi="Arial" w:cs="Arial"/>
          <w:sz w:val="24"/>
          <w:szCs w:val="24"/>
          <w:lang w:val="es-PR"/>
        </w:rPr>
        <w:t xml:space="preserve">e </w:t>
      </w:r>
      <w:r>
        <w:rPr>
          <w:rFonts w:ascii="Arial" w:hAnsi="Arial" w:cs="Arial"/>
          <w:sz w:val="24"/>
          <w:szCs w:val="24"/>
          <w:lang w:val="es-PR"/>
        </w:rPr>
        <w:t>alcanzaron</w:t>
      </w:r>
      <w:r w:rsidRPr="000D3172">
        <w:rPr>
          <w:rFonts w:ascii="Arial" w:hAnsi="Arial" w:cs="Arial"/>
          <w:sz w:val="24"/>
          <w:szCs w:val="24"/>
          <w:lang w:val="es-PR"/>
        </w:rPr>
        <w:t xml:space="preserve"> economías </w:t>
      </w:r>
      <w:r>
        <w:rPr>
          <w:rFonts w:ascii="Arial" w:hAnsi="Arial" w:cs="Arial"/>
          <w:sz w:val="24"/>
          <w:szCs w:val="24"/>
          <w:lang w:val="es-PR"/>
        </w:rPr>
        <w:t>anuales de aproximadamente $52.1 millones.</w:t>
      </w:r>
    </w:p>
    <w:tbl>
      <w:tblPr>
        <w:tblpPr w:leftFromText="180" w:rightFromText="180" w:vertAnchor="text" w:horzAnchor="margin" w:tblpXSpec="right" w:tblpY="458"/>
        <w:tblW w:w="8822" w:type="dxa"/>
        <w:tblLook w:val="04A0" w:firstRow="1" w:lastRow="0" w:firstColumn="1" w:lastColumn="0" w:noHBand="0" w:noVBand="1"/>
      </w:tblPr>
      <w:tblGrid>
        <w:gridCol w:w="1811"/>
        <w:gridCol w:w="1732"/>
        <w:gridCol w:w="1775"/>
        <w:gridCol w:w="1685"/>
        <w:gridCol w:w="1819"/>
      </w:tblGrid>
      <w:tr w:rsidR="00614491" w:rsidRPr="004F0A3F" w14:paraId="5E118A7E" w14:textId="77777777" w:rsidTr="00126C78">
        <w:trPr>
          <w:trHeight w:val="258"/>
        </w:trPr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744F7CC5" w14:textId="77777777" w:rsidR="00614491" w:rsidRPr="004F0A3F" w:rsidRDefault="00614491" w:rsidP="0027763B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0A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R"/>
              </w:rPr>
              <w:t>2012-2013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287294C5" w14:textId="77777777" w:rsidR="00614491" w:rsidRPr="004F0A3F" w:rsidRDefault="00614491" w:rsidP="0027763B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0A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R"/>
              </w:rPr>
              <w:t>2013-2014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4EC1FF24" w14:textId="2E97045A" w:rsidR="00614491" w:rsidRPr="004F0A3F" w:rsidRDefault="00614491" w:rsidP="0027763B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0A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R"/>
              </w:rPr>
              <w:t>2014-2015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0365DD0D" w14:textId="77777777" w:rsidR="00614491" w:rsidRPr="004F0A3F" w:rsidRDefault="00614491" w:rsidP="0027763B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0A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R"/>
              </w:rPr>
              <w:t>2015-2016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75DDEE72" w14:textId="77777777" w:rsidR="00614491" w:rsidRPr="004F0A3F" w:rsidRDefault="00614491" w:rsidP="0027763B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0A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R"/>
              </w:rPr>
              <w:t>2016-2017</w:t>
            </w:r>
          </w:p>
        </w:tc>
      </w:tr>
      <w:tr w:rsidR="00614491" w:rsidRPr="004F0A3F" w14:paraId="461F3240" w14:textId="77777777" w:rsidTr="00614491">
        <w:trPr>
          <w:trHeight w:val="271"/>
        </w:trPr>
        <w:tc>
          <w:tcPr>
            <w:tcW w:w="18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AE002" w14:textId="77777777" w:rsidR="00614491" w:rsidRPr="004F0A3F" w:rsidRDefault="00614491" w:rsidP="0027763B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F0A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$142,997,000 </w:t>
            </w:r>
          </w:p>
        </w:tc>
        <w:tc>
          <w:tcPr>
            <w:tcW w:w="17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09D91" w14:textId="77777777" w:rsidR="00614491" w:rsidRPr="004F0A3F" w:rsidRDefault="00614491" w:rsidP="0027763B">
            <w:pPr>
              <w:spacing w:after="0"/>
              <w:contextualSpacing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F0A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PR"/>
              </w:rPr>
              <w:t xml:space="preserve">$143,000,000 </w:t>
            </w:r>
          </w:p>
        </w:tc>
        <w:tc>
          <w:tcPr>
            <w:tcW w:w="17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9B2A5" w14:textId="77777777" w:rsidR="00614491" w:rsidRPr="004F0A3F" w:rsidRDefault="00614491" w:rsidP="0027763B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F0A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PR"/>
              </w:rPr>
              <w:t xml:space="preserve">$135,000,000 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73E3B" w14:textId="77777777" w:rsidR="00614491" w:rsidRPr="004F0A3F" w:rsidRDefault="00614491" w:rsidP="0027763B">
            <w:pPr>
              <w:spacing w:after="0"/>
              <w:contextualSpacing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F0A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PR"/>
              </w:rPr>
              <w:t xml:space="preserve">$135,000,000 </w:t>
            </w:r>
          </w:p>
        </w:tc>
        <w:tc>
          <w:tcPr>
            <w:tcW w:w="18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B328E" w14:textId="77777777" w:rsidR="00614491" w:rsidRPr="004F0A3F" w:rsidRDefault="00614491" w:rsidP="0027763B">
            <w:pPr>
              <w:spacing w:after="0"/>
              <w:contextualSpacing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F0A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PR"/>
              </w:rPr>
              <w:t xml:space="preserve">$115,000,000 </w:t>
            </w:r>
          </w:p>
        </w:tc>
      </w:tr>
    </w:tbl>
    <w:p w14:paraId="53F1130C" w14:textId="14E5BD23" w:rsidR="000D3172" w:rsidRPr="00126C78" w:rsidRDefault="00113B0F" w:rsidP="00126C78">
      <w:pPr>
        <w:pStyle w:val="ListParagraph"/>
        <w:spacing w:after="0"/>
        <w:jc w:val="center"/>
        <w:rPr>
          <w:rFonts w:ascii="Arial" w:hAnsi="Arial" w:cs="Arial"/>
          <w:b/>
          <w:lang w:val="es-PR"/>
        </w:rPr>
      </w:pPr>
      <w:r w:rsidRPr="00D82121">
        <w:rPr>
          <w:rFonts w:ascii="Arial" w:hAnsi="Arial" w:cs="Arial"/>
          <w:b/>
          <w:lang w:val="es-PR"/>
        </w:rPr>
        <w:t>ANÁLISIS DE PRESUPUESTOS</w:t>
      </w:r>
    </w:p>
    <w:p w14:paraId="5CA073B7" w14:textId="77777777" w:rsidR="004C2CA8" w:rsidRPr="004C2CA8" w:rsidRDefault="004C2CA8" w:rsidP="00905A03">
      <w:pPr>
        <w:jc w:val="right"/>
        <w:rPr>
          <w:lang w:val="es-PR"/>
        </w:rPr>
      </w:pPr>
      <w:bookmarkStart w:id="2" w:name="_Toc460502552"/>
    </w:p>
    <w:p w14:paraId="3A903256" w14:textId="48E7F23F" w:rsidR="00304103" w:rsidRPr="00126C78" w:rsidRDefault="005F7E87" w:rsidP="0027763B">
      <w:pPr>
        <w:pStyle w:val="Heading1"/>
        <w:contextualSpacing/>
        <w:rPr>
          <w:rFonts w:ascii="Arial" w:hAnsi="Arial" w:cs="Arial"/>
          <w:b/>
          <w:color w:val="auto"/>
          <w:sz w:val="24"/>
          <w:szCs w:val="24"/>
          <w:u w:val="single"/>
          <w:lang w:val="es-PR"/>
        </w:rPr>
      </w:pPr>
      <w:r w:rsidRPr="00126C78">
        <w:rPr>
          <w:rFonts w:ascii="Arial" w:hAnsi="Arial" w:cs="Arial"/>
          <w:b/>
          <w:color w:val="auto"/>
          <w:sz w:val="24"/>
          <w:szCs w:val="24"/>
          <w:u w:val="single"/>
          <w:lang w:val="es-PR"/>
        </w:rPr>
        <w:t>LOGROS ADMINISTRATIVOS</w:t>
      </w:r>
      <w:bookmarkEnd w:id="2"/>
    </w:p>
    <w:p w14:paraId="766C2A08" w14:textId="33A81C0D" w:rsidR="001D035B" w:rsidRPr="0027763B" w:rsidRDefault="007E2FC7" w:rsidP="0027763B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27763B">
        <w:rPr>
          <w:rFonts w:ascii="Arial" w:hAnsi="Arial" w:cs="Arial"/>
          <w:sz w:val="24"/>
          <w:szCs w:val="24"/>
          <w:lang w:val="es-ES"/>
        </w:rPr>
        <w:t>Reducción en la cantidad de puestos ocupados con respecto a enero de 2012</w:t>
      </w:r>
    </w:p>
    <w:p w14:paraId="5348DBB7" w14:textId="2D21CFC7" w:rsidR="001D035B" w:rsidRPr="00D82121" w:rsidRDefault="001D035B" w:rsidP="00D82121">
      <w:pPr>
        <w:pStyle w:val="ListParagraph"/>
        <w:spacing w:after="0"/>
        <w:ind w:left="1080"/>
        <w:jc w:val="center"/>
        <w:rPr>
          <w:rFonts w:ascii="Arial" w:hAnsi="Arial" w:cs="Arial"/>
          <w:b/>
          <w:lang w:val="es-ES"/>
        </w:rPr>
      </w:pPr>
      <w:r w:rsidRPr="00D82121">
        <w:rPr>
          <w:rFonts w:ascii="Arial" w:hAnsi="Arial" w:cs="Arial"/>
          <w:b/>
          <w:lang w:val="es-ES"/>
        </w:rPr>
        <w:t>PUESTOS OCUPADOS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135"/>
        <w:gridCol w:w="4135"/>
      </w:tblGrid>
      <w:tr w:rsidR="00600D8E" w14:paraId="24DD6451" w14:textId="77777777" w:rsidTr="00600D8E">
        <w:tc>
          <w:tcPr>
            <w:tcW w:w="4675" w:type="dxa"/>
            <w:shd w:val="clear" w:color="auto" w:fill="FFF2CC" w:themeFill="accent4" w:themeFillTint="33"/>
          </w:tcPr>
          <w:p w14:paraId="7BE23C20" w14:textId="10058FBC" w:rsidR="00600D8E" w:rsidRPr="004F0A3F" w:rsidRDefault="00600D8E" w:rsidP="00600D8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F0A3F">
              <w:rPr>
                <w:rFonts w:ascii="Arial" w:hAnsi="Arial" w:cs="Arial"/>
                <w:b/>
                <w:sz w:val="20"/>
                <w:szCs w:val="20"/>
                <w:lang w:val="es-ES"/>
              </w:rPr>
              <w:t>Año 2012</w:t>
            </w:r>
          </w:p>
        </w:tc>
        <w:tc>
          <w:tcPr>
            <w:tcW w:w="4675" w:type="dxa"/>
            <w:shd w:val="clear" w:color="auto" w:fill="FFF2CC" w:themeFill="accent4" w:themeFillTint="33"/>
          </w:tcPr>
          <w:p w14:paraId="31299F9F" w14:textId="6ABD1FB6" w:rsidR="00600D8E" w:rsidRPr="004F0A3F" w:rsidRDefault="00600D8E" w:rsidP="00600D8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F0A3F">
              <w:rPr>
                <w:rFonts w:ascii="Arial" w:hAnsi="Arial" w:cs="Arial"/>
                <w:b/>
                <w:sz w:val="20"/>
                <w:szCs w:val="20"/>
                <w:lang w:val="es-ES"/>
              </w:rPr>
              <w:t>Año 2016</w:t>
            </w:r>
          </w:p>
        </w:tc>
      </w:tr>
      <w:tr w:rsidR="00600D8E" w14:paraId="78835D5A" w14:textId="77777777" w:rsidTr="00600D8E">
        <w:tc>
          <w:tcPr>
            <w:tcW w:w="4675" w:type="dxa"/>
          </w:tcPr>
          <w:p w14:paraId="5C5E2AD3" w14:textId="0FA9EDD4" w:rsidR="00600D8E" w:rsidRPr="004F0A3F" w:rsidRDefault="00600D8E" w:rsidP="00600D8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F0A3F">
              <w:rPr>
                <w:rFonts w:ascii="Arial" w:hAnsi="Arial" w:cs="Arial"/>
                <w:sz w:val="20"/>
                <w:szCs w:val="20"/>
                <w:lang w:val="es-ES"/>
              </w:rPr>
              <w:t>1342</w:t>
            </w:r>
          </w:p>
        </w:tc>
        <w:tc>
          <w:tcPr>
            <w:tcW w:w="4675" w:type="dxa"/>
          </w:tcPr>
          <w:p w14:paraId="239DD1B9" w14:textId="0515928B" w:rsidR="00600D8E" w:rsidRPr="004F0A3F" w:rsidRDefault="00600D8E" w:rsidP="00600D8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F0A3F">
              <w:rPr>
                <w:rFonts w:ascii="Arial" w:hAnsi="Arial" w:cs="Arial"/>
                <w:sz w:val="20"/>
                <w:szCs w:val="20"/>
                <w:lang w:val="es-ES"/>
              </w:rPr>
              <w:t>1281</w:t>
            </w:r>
          </w:p>
        </w:tc>
      </w:tr>
    </w:tbl>
    <w:p w14:paraId="3C66093D" w14:textId="77777777" w:rsidR="0027763B" w:rsidRPr="00600D8E" w:rsidRDefault="0027763B" w:rsidP="00600D8E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1BD9ECAE" w14:textId="21B5F85A" w:rsidR="007E2FC7" w:rsidRDefault="00D57C52" w:rsidP="004C5745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E2FC7">
        <w:rPr>
          <w:rFonts w:ascii="Arial" w:hAnsi="Arial" w:cs="Arial"/>
          <w:sz w:val="24"/>
          <w:szCs w:val="24"/>
          <w:lang w:val="es-PR"/>
        </w:rPr>
        <w:t xml:space="preserve">Para medir la eficiencia y mejorar la calidad de los servicios prestados </w:t>
      </w:r>
      <w:r w:rsidRPr="007E2FC7">
        <w:rPr>
          <w:rFonts w:ascii="Arial" w:hAnsi="Arial" w:cs="Arial"/>
          <w:sz w:val="24"/>
          <w:szCs w:val="24"/>
          <w:lang w:val="es-ES"/>
        </w:rPr>
        <w:t>a nuestros clientes, durante el mes de mayo del 2014 reincorporamos el Programa de Servicio al Cliente el cual permite registrar</w:t>
      </w:r>
      <w:r w:rsidR="00F150EC" w:rsidRPr="007E2FC7">
        <w:rPr>
          <w:rFonts w:ascii="Arial" w:hAnsi="Arial" w:cs="Arial"/>
          <w:sz w:val="24"/>
          <w:szCs w:val="24"/>
          <w:lang w:val="es-ES"/>
        </w:rPr>
        <w:t xml:space="preserve"> y monitorear</w:t>
      </w:r>
      <w:r w:rsidRPr="007E2FC7">
        <w:rPr>
          <w:rFonts w:ascii="Arial" w:hAnsi="Arial" w:cs="Arial"/>
          <w:sz w:val="24"/>
          <w:szCs w:val="24"/>
          <w:lang w:val="es-ES"/>
        </w:rPr>
        <w:t xml:space="preserve"> electrónicamente las reclamaciones y solicitudes de servicios.  Este sistema fue creado por el personal de nuestra Oficina de Sistemas en colaboración con el Área de Conservación y Mantenimiento.</w:t>
      </w:r>
      <w:r w:rsidR="00F822E4" w:rsidRPr="007E2FC7">
        <w:rPr>
          <w:rFonts w:ascii="Arial" w:hAnsi="Arial" w:cs="Arial"/>
          <w:sz w:val="24"/>
          <w:szCs w:val="24"/>
          <w:lang w:val="es-ES"/>
        </w:rPr>
        <w:t xml:space="preserve">  </w:t>
      </w:r>
    </w:p>
    <w:p w14:paraId="0E8470C9" w14:textId="77777777" w:rsidR="007E2FC7" w:rsidRDefault="007E2FC7" w:rsidP="004C5745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227A344A" w14:textId="12597FB1" w:rsidR="00F822E4" w:rsidRDefault="00F822E4" w:rsidP="004C5745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E2FC7">
        <w:rPr>
          <w:rFonts w:ascii="Arial" w:hAnsi="Arial" w:cs="Arial"/>
          <w:sz w:val="24"/>
          <w:szCs w:val="24"/>
          <w:lang w:val="es-ES"/>
        </w:rPr>
        <w:t xml:space="preserve">Otra iniciativa </w:t>
      </w:r>
      <w:r w:rsidR="00B36FC4" w:rsidRPr="007E2FC7">
        <w:rPr>
          <w:rFonts w:ascii="Arial" w:hAnsi="Arial" w:cs="Arial"/>
          <w:sz w:val="24"/>
          <w:szCs w:val="24"/>
          <w:lang w:val="es-ES"/>
        </w:rPr>
        <w:t xml:space="preserve">realizada en conjunto con los dos gremios y la Asociación de Gerenciales, </w:t>
      </w:r>
      <w:r w:rsidRPr="007E2FC7">
        <w:rPr>
          <w:rFonts w:ascii="Arial" w:hAnsi="Arial" w:cs="Arial"/>
          <w:sz w:val="24"/>
          <w:szCs w:val="24"/>
          <w:lang w:val="es-ES"/>
        </w:rPr>
        <w:t>fue la contratación del Instituto de Investigación Psicológico de la UPR de Río Piedras</w:t>
      </w:r>
      <w:r w:rsidR="00B36FC4" w:rsidRPr="007E2FC7">
        <w:rPr>
          <w:rFonts w:ascii="Arial" w:hAnsi="Arial" w:cs="Arial"/>
          <w:sz w:val="24"/>
          <w:szCs w:val="24"/>
          <w:lang w:val="es-ES"/>
        </w:rPr>
        <w:t xml:space="preserve">, a fin de identificar las acciones para la transformación de la cultura organizacional de </w:t>
      </w:r>
      <w:r w:rsidR="00B36FC4" w:rsidRPr="00474D6A">
        <w:rPr>
          <w:rFonts w:ascii="Arial" w:hAnsi="Arial" w:cs="Arial"/>
          <w:i/>
          <w:sz w:val="24"/>
          <w:szCs w:val="24"/>
          <w:lang w:val="es-ES"/>
        </w:rPr>
        <w:t>la Autoridad</w:t>
      </w:r>
      <w:r w:rsidR="00B36FC4" w:rsidRPr="007E2FC7">
        <w:rPr>
          <w:rFonts w:ascii="Arial" w:hAnsi="Arial" w:cs="Arial"/>
          <w:sz w:val="24"/>
          <w:szCs w:val="24"/>
          <w:lang w:val="es-ES"/>
        </w:rPr>
        <w:t xml:space="preserve"> a partir de los estudios realizados en el 2015.  Esto se realizará mediante la otorgación de adiestramientos a los </w:t>
      </w:r>
      <w:r w:rsidR="00B36FC4" w:rsidRPr="007E2FC7">
        <w:rPr>
          <w:rFonts w:ascii="Arial" w:hAnsi="Arial" w:cs="Arial"/>
          <w:sz w:val="24"/>
          <w:szCs w:val="24"/>
          <w:lang w:val="es-ES"/>
        </w:rPr>
        <w:lastRenderedPageBreak/>
        <w:t xml:space="preserve">empleados, </w:t>
      </w:r>
      <w:r w:rsidR="004B3BF7" w:rsidRPr="007E2FC7">
        <w:rPr>
          <w:rFonts w:ascii="Arial" w:hAnsi="Arial" w:cs="Arial"/>
          <w:sz w:val="24"/>
          <w:szCs w:val="24"/>
          <w:lang w:val="es-ES"/>
        </w:rPr>
        <w:t xml:space="preserve">con el propósito </w:t>
      </w:r>
      <w:r w:rsidR="00B36FC4" w:rsidRPr="007E2FC7">
        <w:rPr>
          <w:rFonts w:ascii="Arial" w:hAnsi="Arial" w:cs="Arial"/>
          <w:sz w:val="24"/>
          <w:szCs w:val="24"/>
          <w:lang w:val="es-ES"/>
        </w:rPr>
        <w:t>de transformar los elementos conductuales individuales y grupales, desarrollar la comunicación efectiva y el manejo de conflictos, fortalecer y sistematizar el sistema de mérito en todas las acciones del personal incluyendo reclutamiento, desarrollar  procesos que garanticen la transparencia y rendición de cuentas, entre otras.</w:t>
      </w:r>
    </w:p>
    <w:p w14:paraId="29B4001C" w14:textId="77777777" w:rsidR="007E2FC7" w:rsidRPr="007E2FC7" w:rsidRDefault="007E2FC7" w:rsidP="004C5745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s-PR"/>
        </w:rPr>
      </w:pPr>
    </w:p>
    <w:p w14:paraId="03BC3DF6" w14:textId="77777777" w:rsidR="00FB4D63" w:rsidRDefault="007E2FC7" w:rsidP="004C5745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es-PR"/>
        </w:rPr>
      </w:pPr>
      <w:r w:rsidRPr="00474D6A">
        <w:rPr>
          <w:rFonts w:ascii="Arial" w:hAnsi="Arial" w:cs="Arial"/>
          <w:i/>
          <w:sz w:val="24"/>
          <w:szCs w:val="24"/>
          <w:lang w:val="es-PR"/>
        </w:rPr>
        <w:t>La Autoridad</w:t>
      </w:r>
      <w:r w:rsidR="000D3172">
        <w:rPr>
          <w:rFonts w:ascii="Arial" w:hAnsi="Arial" w:cs="Arial"/>
          <w:sz w:val="24"/>
          <w:szCs w:val="24"/>
          <w:lang w:val="es-PR"/>
        </w:rPr>
        <w:t xml:space="preserve"> retomó la práctica agresiva </w:t>
      </w:r>
      <w:r w:rsidRPr="00223421">
        <w:rPr>
          <w:rFonts w:ascii="Arial" w:hAnsi="Arial" w:cs="Arial"/>
          <w:sz w:val="24"/>
          <w:szCs w:val="24"/>
          <w:lang w:val="es-PR"/>
        </w:rPr>
        <w:t xml:space="preserve">de en primera instancia solicitar la cobertura del seguro para los casos que así apliquen. </w:t>
      </w:r>
    </w:p>
    <w:p w14:paraId="41C26C62" w14:textId="77777777" w:rsidR="00FB4D63" w:rsidRPr="00FB4D63" w:rsidRDefault="00FB4D63" w:rsidP="00FB4D63">
      <w:pPr>
        <w:pStyle w:val="ListParagraph"/>
        <w:rPr>
          <w:rFonts w:ascii="Arial" w:hAnsi="Arial" w:cs="Arial"/>
          <w:sz w:val="24"/>
          <w:szCs w:val="24"/>
          <w:lang w:val="es-PR"/>
        </w:rPr>
      </w:pPr>
    </w:p>
    <w:p w14:paraId="0F2E076B" w14:textId="73DF4D7D" w:rsidR="00FB4D63" w:rsidRPr="00A90AF2" w:rsidRDefault="00FB4D63" w:rsidP="00FB4D63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223421">
        <w:rPr>
          <w:rFonts w:ascii="Arial" w:hAnsi="Arial" w:cs="Arial"/>
          <w:sz w:val="24"/>
          <w:szCs w:val="24"/>
          <w:lang w:val="es-ES"/>
        </w:rPr>
        <w:t xml:space="preserve">Alquiler de pared para colocar pantallas electrónicas en el </w:t>
      </w:r>
      <w:r>
        <w:rPr>
          <w:rFonts w:ascii="Arial" w:hAnsi="Arial" w:cs="Arial"/>
          <w:sz w:val="24"/>
          <w:szCs w:val="24"/>
          <w:lang w:val="es-ES"/>
        </w:rPr>
        <w:t>Centro Gubernamental Minillas, a fin de obtener fondos adicionales.</w:t>
      </w:r>
    </w:p>
    <w:p w14:paraId="3E291767" w14:textId="77777777" w:rsidR="00223421" w:rsidRPr="00FB4D63" w:rsidRDefault="00223421" w:rsidP="00FB4D63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  <w:lang w:val="es-PR"/>
        </w:rPr>
      </w:pPr>
    </w:p>
    <w:p w14:paraId="49D8BDAF" w14:textId="1E0C8797" w:rsidR="007E2FC7" w:rsidRDefault="007E2FC7" w:rsidP="00402091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 identificó personal</w:t>
      </w:r>
      <w:r w:rsidR="000D2571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interno</w:t>
      </w:r>
      <w:r w:rsidR="000D2571">
        <w:rPr>
          <w:rFonts w:ascii="Arial" w:hAnsi="Arial" w:cs="Arial"/>
          <w:sz w:val="24"/>
          <w:szCs w:val="24"/>
          <w:lang w:val="es-ES"/>
        </w:rPr>
        <w:t xml:space="preserve"> para realizar gestiones de cobros</w:t>
      </w:r>
      <w:r w:rsidR="00C47A45">
        <w:rPr>
          <w:rFonts w:ascii="Arial" w:hAnsi="Arial" w:cs="Arial"/>
          <w:sz w:val="24"/>
          <w:szCs w:val="24"/>
          <w:lang w:val="es-ES"/>
        </w:rPr>
        <w:t xml:space="preserve"> adicionales a las que se ejercían</w:t>
      </w:r>
      <w:r w:rsidR="000D2571">
        <w:rPr>
          <w:rFonts w:ascii="Arial" w:hAnsi="Arial" w:cs="Arial"/>
          <w:sz w:val="24"/>
          <w:szCs w:val="24"/>
          <w:lang w:val="es-ES"/>
        </w:rPr>
        <w:t>, a</w:t>
      </w:r>
      <w:r>
        <w:rPr>
          <w:rFonts w:ascii="Arial" w:hAnsi="Arial" w:cs="Arial"/>
          <w:sz w:val="24"/>
          <w:szCs w:val="24"/>
          <w:lang w:val="es-ES"/>
        </w:rPr>
        <w:t xml:space="preserve"> fin de aumentar la efectividad </w:t>
      </w:r>
      <w:r w:rsidR="00C47A45">
        <w:rPr>
          <w:rFonts w:ascii="Arial" w:hAnsi="Arial" w:cs="Arial"/>
          <w:sz w:val="24"/>
          <w:szCs w:val="24"/>
          <w:lang w:val="es-ES"/>
        </w:rPr>
        <w:t>en el recaudo</w:t>
      </w:r>
      <w:r>
        <w:rPr>
          <w:rFonts w:ascii="Arial" w:hAnsi="Arial" w:cs="Arial"/>
          <w:sz w:val="24"/>
          <w:szCs w:val="24"/>
          <w:lang w:val="es-ES"/>
        </w:rPr>
        <w:t xml:space="preserve"> de </w:t>
      </w:r>
      <w:r w:rsidR="000D2571">
        <w:rPr>
          <w:rFonts w:ascii="Arial" w:hAnsi="Arial" w:cs="Arial"/>
          <w:sz w:val="24"/>
          <w:szCs w:val="24"/>
          <w:lang w:val="es-ES"/>
        </w:rPr>
        <w:t>renta</w:t>
      </w:r>
      <w:r w:rsidR="00C47A45">
        <w:rPr>
          <w:rFonts w:ascii="Arial" w:hAnsi="Arial" w:cs="Arial"/>
          <w:sz w:val="24"/>
          <w:szCs w:val="24"/>
          <w:lang w:val="es-ES"/>
        </w:rPr>
        <w:t xml:space="preserve"> provenientes de las agencias clientes.</w:t>
      </w:r>
      <w:r w:rsidR="000E3754">
        <w:rPr>
          <w:rFonts w:ascii="Arial" w:hAnsi="Arial" w:cs="Arial"/>
          <w:sz w:val="24"/>
          <w:szCs w:val="24"/>
          <w:lang w:val="es-ES"/>
        </w:rPr>
        <w:t xml:space="preserve">  Actualmente, las deudas por cobrar más significativas provienen de las Agencias o Corporaciones con tesoro propio.  Siendo la </w:t>
      </w:r>
      <w:r w:rsidR="000E3754" w:rsidRPr="00FB4D63">
        <w:rPr>
          <w:rFonts w:ascii="Arial" w:hAnsi="Arial" w:cs="Arial"/>
          <w:i/>
          <w:sz w:val="24"/>
          <w:szCs w:val="24"/>
          <w:lang w:val="es-ES"/>
        </w:rPr>
        <w:t>Administración de Tribunales</w:t>
      </w:r>
      <w:r w:rsidR="000E3754">
        <w:rPr>
          <w:rFonts w:ascii="Arial" w:hAnsi="Arial" w:cs="Arial"/>
          <w:sz w:val="24"/>
          <w:szCs w:val="24"/>
          <w:lang w:val="es-ES"/>
        </w:rPr>
        <w:t xml:space="preserve"> el mayor deudor co</w:t>
      </w:r>
      <w:r w:rsidR="00FB4D63">
        <w:rPr>
          <w:rFonts w:ascii="Arial" w:hAnsi="Arial" w:cs="Arial"/>
          <w:sz w:val="24"/>
          <w:szCs w:val="24"/>
          <w:lang w:val="es-ES"/>
        </w:rPr>
        <w:t xml:space="preserve">n la cantidad de $57.2 millones. </w:t>
      </w:r>
    </w:p>
    <w:p w14:paraId="48B6B138" w14:textId="77777777" w:rsidR="00FB4D63" w:rsidRPr="00FB4D63" w:rsidRDefault="00FB4D63" w:rsidP="00FB4D63">
      <w:pPr>
        <w:pStyle w:val="ListParagraph"/>
        <w:rPr>
          <w:rFonts w:ascii="Arial" w:hAnsi="Arial" w:cs="Arial"/>
          <w:sz w:val="24"/>
          <w:szCs w:val="24"/>
          <w:lang w:val="es-ES"/>
        </w:rPr>
      </w:pPr>
    </w:p>
    <w:p w14:paraId="3B974773" w14:textId="35A703D0" w:rsidR="007E2FC7" w:rsidRPr="00126C78" w:rsidRDefault="00FB4D63" w:rsidP="00FB4D63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FB4D63">
        <w:rPr>
          <w:rFonts w:ascii="Arial" w:hAnsi="Arial" w:cs="Arial"/>
          <w:i/>
          <w:sz w:val="24"/>
          <w:szCs w:val="24"/>
          <w:lang w:val="es-ES"/>
        </w:rPr>
        <w:t>La Autoridad</w:t>
      </w:r>
      <w:r>
        <w:rPr>
          <w:rFonts w:ascii="Arial" w:hAnsi="Arial" w:cs="Arial"/>
          <w:sz w:val="24"/>
          <w:szCs w:val="24"/>
          <w:lang w:val="es-ES"/>
        </w:rPr>
        <w:t xml:space="preserve">, a pesar de contar con un presupuesto reducido, ha hecho un esfuerzo por reducir las cuentas por pagar.  Entre estas destacamos que el pago a la Autoridad de Energía Eléctrica (AEE) y a la Autoridad de Acueductos y Alcantarillados (AAA), se encuentran al corriente. </w:t>
      </w:r>
    </w:p>
    <w:p w14:paraId="5E4C28E7" w14:textId="77777777" w:rsidR="00905A03" w:rsidRPr="00126C78" w:rsidRDefault="00905A03" w:rsidP="00905A03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u w:val="single"/>
          <w:lang w:val="es-PR"/>
        </w:rPr>
      </w:pPr>
      <w:bookmarkStart w:id="3" w:name="_Toc460502554"/>
      <w:bookmarkStart w:id="4" w:name="_Toc460502553"/>
      <w:r w:rsidRPr="00126C78">
        <w:rPr>
          <w:rFonts w:ascii="Arial" w:eastAsia="Times New Roman" w:hAnsi="Arial" w:cs="Arial"/>
          <w:b/>
          <w:color w:val="auto"/>
          <w:sz w:val="24"/>
          <w:szCs w:val="24"/>
          <w:u w:val="single"/>
          <w:lang w:val="es-PR"/>
        </w:rPr>
        <w:t>MEDIDAS DE REDUCCIÓN DE GASTOS POR LEY NUM. 66-2014</w:t>
      </w:r>
      <w:bookmarkEnd w:id="3"/>
    </w:p>
    <w:p w14:paraId="2ACA1D22" w14:textId="77777777" w:rsidR="00905A03" w:rsidRPr="00402091" w:rsidRDefault="00905A03" w:rsidP="00905A03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4"/>
          <w:lang w:val="es-PR"/>
        </w:rPr>
      </w:pPr>
      <w:r w:rsidRPr="00567BDE">
        <w:rPr>
          <w:rFonts w:ascii="Arial" w:eastAsia="Times New Roman" w:hAnsi="Arial" w:cs="Arial"/>
          <w:sz w:val="24"/>
          <w:szCs w:val="24"/>
          <w:lang w:val="es-PR"/>
        </w:rPr>
        <w:t>Se llevó a cabo el proceso participativ</w:t>
      </w:r>
      <w:r>
        <w:rPr>
          <w:rFonts w:ascii="Arial" w:eastAsia="Times New Roman" w:hAnsi="Arial" w:cs="Arial"/>
          <w:sz w:val="24"/>
          <w:szCs w:val="24"/>
          <w:lang w:val="es-PR"/>
        </w:rPr>
        <w:t xml:space="preserve">o alterno para lograr acuerdos </w:t>
      </w:r>
      <w:r w:rsidRPr="00567BDE">
        <w:rPr>
          <w:rFonts w:ascii="Arial" w:eastAsia="Times New Roman" w:hAnsi="Arial" w:cs="Arial"/>
          <w:sz w:val="24"/>
          <w:szCs w:val="24"/>
          <w:lang w:val="es-PR"/>
        </w:rPr>
        <w:t xml:space="preserve">donde se modificaron los Convenios Colectivos con la Unión Independiente de Empleados y con la Unión de Empleados de Oficina y Profesionales de </w:t>
      </w:r>
      <w:r w:rsidRPr="00474D6A">
        <w:rPr>
          <w:rFonts w:ascii="Arial" w:eastAsia="Times New Roman" w:hAnsi="Arial" w:cs="Arial"/>
          <w:i/>
          <w:sz w:val="24"/>
          <w:szCs w:val="24"/>
          <w:lang w:val="es-PR"/>
        </w:rPr>
        <w:t>la Autoridad</w:t>
      </w:r>
      <w:r w:rsidRPr="00567BDE">
        <w:rPr>
          <w:rFonts w:ascii="Arial" w:eastAsia="Times New Roman" w:hAnsi="Arial" w:cs="Arial"/>
          <w:sz w:val="24"/>
          <w:szCs w:val="24"/>
          <w:lang w:val="es-PR"/>
        </w:rPr>
        <w:t>, para lograr los ahorros requ</w:t>
      </w:r>
      <w:r>
        <w:rPr>
          <w:rFonts w:ascii="Arial" w:eastAsia="Times New Roman" w:hAnsi="Arial" w:cs="Arial"/>
          <w:sz w:val="24"/>
          <w:szCs w:val="24"/>
          <w:lang w:val="es-PR"/>
        </w:rPr>
        <w:t xml:space="preserve">eridos. </w:t>
      </w:r>
    </w:p>
    <w:p w14:paraId="26CC5FEB" w14:textId="77777777" w:rsidR="00905A03" w:rsidRPr="00402091" w:rsidRDefault="00905A03" w:rsidP="00905A03">
      <w:pPr>
        <w:pStyle w:val="ListParagraph"/>
        <w:spacing w:after="0"/>
        <w:jc w:val="both"/>
        <w:rPr>
          <w:rFonts w:ascii="Arial" w:hAnsi="Arial" w:cs="Arial"/>
          <w:b/>
          <w:sz w:val="24"/>
          <w:lang w:val="es-PR"/>
        </w:rPr>
      </w:pPr>
    </w:p>
    <w:p w14:paraId="0988878D" w14:textId="0A45C847" w:rsidR="00905A03" w:rsidRPr="00D82121" w:rsidRDefault="00905A03" w:rsidP="00D82121">
      <w:pPr>
        <w:jc w:val="center"/>
        <w:rPr>
          <w:rFonts w:ascii="Arial" w:hAnsi="Arial" w:cs="Arial"/>
          <w:b/>
          <w:sz w:val="20"/>
          <w:szCs w:val="20"/>
          <w:lang w:val="es-PR"/>
        </w:rPr>
      </w:pPr>
      <w:r w:rsidRPr="00D82121">
        <w:rPr>
          <w:rFonts w:ascii="Arial" w:hAnsi="Arial" w:cs="Arial"/>
          <w:b/>
          <w:sz w:val="20"/>
          <w:szCs w:val="20"/>
          <w:lang w:val="es-PR"/>
        </w:rPr>
        <w:t xml:space="preserve">ECONOMÍAS LOGRADAS A TRAVÉS DEL PROCESO PARTICIPATIVO CON </w:t>
      </w:r>
      <w:r w:rsidRPr="00D82121">
        <w:rPr>
          <w:rFonts w:ascii="Arial" w:hAnsi="Arial" w:cs="Arial"/>
          <w:b/>
          <w:sz w:val="20"/>
          <w:szCs w:val="20"/>
          <w:lang w:val="es-PR"/>
        </w:rPr>
        <w:tab/>
        <w:t>LAS DOS (2) UNIONES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05A03" w14:paraId="2E08DB80" w14:textId="77777777" w:rsidTr="00124806">
        <w:trPr>
          <w:trHeight w:val="206"/>
        </w:trPr>
        <w:tc>
          <w:tcPr>
            <w:tcW w:w="3116" w:type="dxa"/>
            <w:shd w:val="clear" w:color="auto" w:fill="FFF2CC" w:themeFill="accent4" w:themeFillTint="33"/>
          </w:tcPr>
          <w:p w14:paraId="55C4E325" w14:textId="77777777" w:rsidR="00905A03" w:rsidRPr="00124806" w:rsidRDefault="00905A03" w:rsidP="002B5E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124806">
              <w:rPr>
                <w:rFonts w:ascii="Arial" w:hAnsi="Arial" w:cs="Arial"/>
                <w:b/>
                <w:sz w:val="20"/>
                <w:szCs w:val="20"/>
                <w:lang w:val="es-PR"/>
              </w:rPr>
              <w:t>2014-2015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7D4AE1BF" w14:textId="77777777" w:rsidR="00905A03" w:rsidRPr="00124806" w:rsidRDefault="00905A03" w:rsidP="002B5E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124806">
              <w:rPr>
                <w:rFonts w:ascii="Arial" w:hAnsi="Arial" w:cs="Arial"/>
                <w:b/>
                <w:sz w:val="20"/>
                <w:szCs w:val="20"/>
                <w:lang w:val="es-PR"/>
              </w:rPr>
              <w:t>2015-2016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3CC35E63" w14:textId="77777777" w:rsidR="00905A03" w:rsidRPr="00124806" w:rsidRDefault="00905A03" w:rsidP="002B5E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124806">
              <w:rPr>
                <w:rFonts w:ascii="Arial" w:hAnsi="Arial" w:cs="Arial"/>
                <w:b/>
                <w:sz w:val="20"/>
                <w:szCs w:val="20"/>
                <w:lang w:val="es-PR"/>
              </w:rPr>
              <w:t>2016-2017</w:t>
            </w:r>
          </w:p>
        </w:tc>
      </w:tr>
      <w:tr w:rsidR="00905A03" w14:paraId="2C10ADEC" w14:textId="77777777" w:rsidTr="002B5E2F">
        <w:tc>
          <w:tcPr>
            <w:tcW w:w="3116" w:type="dxa"/>
          </w:tcPr>
          <w:p w14:paraId="24D987AE" w14:textId="77777777" w:rsidR="00905A03" w:rsidRPr="00124806" w:rsidRDefault="00905A03" w:rsidP="002B5E2F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124806">
              <w:rPr>
                <w:rFonts w:ascii="Arial" w:hAnsi="Arial" w:cs="Arial"/>
                <w:sz w:val="20"/>
                <w:szCs w:val="20"/>
                <w:lang w:val="es-PR"/>
              </w:rPr>
              <w:t>$8,447,800.08</w:t>
            </w:r>
          </w:p>
        </w:tc>
        <w:tc>
          <w:tcPr>
            <w:tcW w:w="3117" w:type="dxa"/>
          </w:tcPr>
          <w:p w14:paraId="4836F14E" w14:textId="77777777" w:rsidR="00905A03" w:rsidRPr="00124806" w:rsidRDefault="00905A03" w:rsidP="002B5E2F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124806">
              <w:rPr>
                <w:rFonts w:ascii="Arial" w:hAnsi="Arial" w:cs="Arial"/>
                <w:sz w:val="20"/>
                <w:szCs w:val="20"/>
                <w:lang w:val="es-PR"/>
              </w:rPr>
              <w:t>$9,694,694.33</w:t>
            </w:r>
          </w:p>
        </w:tc>
        <w:tc>
          <w:tcPr>
            <w:tcW w:w="3117" w:type="dxa"/>
          </w:tcPr>
          <w:p w14:paraId="7ED42808" w14:textId="77777777" w:rsidR="00905A03" w:rsidRPr="00124806" w:rsidRDefault="00905A03" w:rsidP="002B5E2F">
            <w:pPr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124806">
              <w:rPr>
                <w:rFonts w:ascii="Arial" w:hAnsi="Arial" w:cs="Arial"/>
                <w:sz w:val="20"/>
                <w:szCs w:val="20"/>
                <w:lang w:val="es-PR"/>
              </w:rPr>
              <w:t>$8,993,362.09</w:t>
            </w:r>
          </w:p>
        </w:tc>
      </w:tr>
    </w:tbl>
    <w:p w14:paraId="16ED09AF" w14:textId="77777777" w:rsidR="00905A03" w:rsidRPr="00EE71E2" w:rsidRDefault="00905A03" w:rsidP="00905A03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s-PR"/>
        </w:rPr>
      </w:pPr>
    </w:p>
    <w:p w14:paraId="1E9934F9" w14:textId="3284910C" w:rsidR="00905A03" w:rsidRPr="006C736F" w:rsidRDefault="00905A03" w:rsidP="00905A03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  <w:lang w:val="es-PR"/>
        </w:rPr>
      </w:pPr>
      <w:r w:rsidRPr="006C736F">
        <w:rPr>
          <w:rFonts w:ascii="Arial" w:eastAsia="Times New Roman" w:hAnsi="Arial" w:cs="Arial"/>
          <w:b/>
          <w:sz w:val="24"/>
          <w:szCs w:val="24"/>
          <w:lang w:val="es-PR"/>
        </w:rPr>
        <w:t xml:space="preserve">Reducción en nómina del personal de confianza - </w:t>
      </w:r>
      <w:r w:rsidRPr="00567BDE">
        <w:rPr>
          <w:rFonts w:ascii="Arial" w:eastAsia="Times New Roman" w:hAnsi="Arial" w:cs="Arial"/>
          <w:sz w:val="24"/>
          <w:szCs w:val="24"/>
          <w:lang w:val="es-PR"/>
        </w:rPr>
        <w:t>La plantilla</w:t>
      </w:r>
      <w:r>
        <w:rPr>
          <w:rFonts w:ascii="Arial" w:eastAsia="Times New Roman" w:hAnsi="Arial" w:cs="Arial"/>
          <w:sz w:val="24"/>
          <w:szCs w:val="24"/>
          <w:lang w:val="es-PR"/>
        </w:rPr>
        <w:t xml:space="preserve"> de confianza está compuesta de</w:t>
      </w:r>
      <w:r w:rsidRPr="00567BDE">
        <w:rPr>
          <w:rFonts w:ascii="Arial" w:eastAsia="Times New Roman" w:hAnsi="Arial" w:cs="Arial"/>
          <w:sz w:val="24"/>
          <w:szCs w:val="24"/>
          <w:lang w:val="es-P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PR"/>
        </w:rPr>
        <w:t>27</w:t>
      </w:r>
      <w:r w:rsidR="00126C78">
        <w:rPr>
          <w:rFonts w:ascii="Arial" w:eastAsia="Times New Roman" w:hAnsi="Arial" w:cs="Arial"/>
          <w:sz w:val="24"/>
          <w:szCs w:val="24"/>
          <w:lang w:val="es-PR"/>
        </w:rPr>
        <w:t xml:space="preserve"> puestos</w:t>
      </w:r>
      <w:r w:rsidRPr="00567BDE">
        <w:rPr>
          <w:rFonts w:ascii="Arial" w:eastAsia="Times New Roman" w:hAnsi="Arial" w:cs="Arial"/>
          <w:sz w:val="24"/>
          <w:szCs w:val="24"/>
          <w:lang w:val="es-PR"/>
        </w:rPr>
        <w:t>.</w:t>
      </w:r>
      <w:r w:rsidRPr="000D3172">
        <w:rPr>
          <w:rFonts w:ascii="Arial" w:eastAsia="Times New Roman" w:hAnsi="Arial" w:cs="Arial"/>
          <w:sz w:val="24"/>
          <w:szCs w:val="24"/>
          <w:lang w:val="es-PR"/>
        </w:rPr>
        <w:t xml:space="preserve">  </w:t>
      </w:r>
      <w:r w:rsidRPr="00567BDE">
        <w:rPr>
          <w:rFonts w:ascii="Arial" w:eastAsia="Times New Roman" w:hAnsi="Arial" w:cs="Arial"/>
          <w:sz w:val="24"/>
          <w:szCs w:val="24"/>
          <w:lang w:val="es-PR"/>
        </w:rPr>
        <w:t xml:space="preserve">En comparación con el 2012 logramos una reducción de </w:t>
      </w:r>
      <w:r>
        <w:rPr>
          <w:rFonts w:ascii="Arial" w:eastAsia="Times New Roman" w:hAnsi="Arial" w:cs="Arial"/>
          <w:sz w:val="24"/>
          <w:szCs w:val="24"/>
          <w:lang w:val="es-PR"/>
        </w:rPr>
        <w:t>37</w:t>
      </w:r>
      <w:r w:rsidRPr="00567BDE">
        <w:rPr>
          <w:rFonts w:ascii="Arial" w:eastAsia="Times New Roman" w:hAnsi="Arial" w:cs="Arial"/>
          <w:sz w:val="24"/>
          <w:szCs w:val="24"/>
          <w:lang w:val="es-PR"/>
        </w:rPr>
        <w:t xml:space="preserve">%, en el renglón de confianza, dicha reducción constituye un </w:t>
      </w:r>
      <w:r>
        <w:rPr>
          <w:rFonts w:ascii="Arial" w:eastAsia="Times New Roman" w:hAnsi="Arial" w:cs="Arial"/>
          <w:sz w:val="24"/>
          <w:szCs w:val="24"/>
          <w:lang w:val="es-PR"/>
        </w:rPr>
        <w:t>17</w:t>
      </w:r>
      <w:r w:rsidRPr="00567BDE">
        <w:rPr>
          <w:rFonts w:ascii="Arial" w:eastAsia="Times New Roman" w:hAnsi="Arial" w:cs="Arial"/>
          <w:sz w:val="24"/>
          <w:szCs w:val="24"/>
          <w:lang w:val="es-PR"/>
        </w:rPr>
        <w:t>% adicional a la requerida por Ley – Núm. 66 del 2014</w:t>
      </w:r>
      <w:r>
        <w:rPr>
          <w:rFonts w:ascii="Arial" w:eastAsia="Times New Roman" w:hAnsi="Arial" w:cs="Arial"/>
          <w:sz w:val="24"/>
          <w:szCs w:val="24"/>
          <w:lang w:val="es-PR"/>
        </w:rPr>
        <w:t>.</w:t>
      </w:r>
    </w:p>
    <w:p w14:paraId="76920959" w14:textId="77777777" w:rsidR="00905A03" w:rsidRPr="006C736F" w:rsidRDefault="00905A03" w:rsidP="00905A03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s-PR"/>
        </w:rPr>
      </w:pPr>
    </w:p>
    <w:p w14:paraId="7B9C95C2" w14:textId="5DAA9CD4" w:rsidR="00905A03" w:rsidRDefault="00905A03" w:rsidP="00905A03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  <w:lang w:val="es-PR"/>
        </w:rPr>
      </w:pPr>
      <w:r w:rsidRPr="006C736F">
        <w:rPr>
          <w:rFonts w:ascii="Arial" w:hAnsi="Arial" w:cs="Arial"/>
          <w:b/>
          <w:sz w:val="24"/>
          <w:szCs w:val="24"/>
          <w:lang w:val="es-PR"/>
        </w:rPr>
        <w:t>Ajuste en la tarifa de servicios profesionales -</w:t>
      </w:r>
      <w:r>
        <w:rPr>
          <w:rFonts w:ascii="Arial" w:hAnsi="Arial" w:cs="Arial"/>
          <w:sz w:val="24"/>
          <w:szCs w:val="24"/>
          <w:lang w:val="es-PR"/>
        </w:rPr>
        <w:t xml:space="preserve"> </w:t>
      </w:r>
      <w:r w:rsidRPr="00EE71E2">
        <w:rPr>
          <w:rFonts w:ascii="Arial" w:hAnsi="Arial" w:cs="Arial"/>
          <w:sz w:val="24"/>
          <w:szCs w:val="24"/>
          <w:lang w:val="es-PR"/>
        </w:rPr>
        <w:t>El Presupuesto pa</w:t>
      </w:r>
      <w:r>
        <w:rPr>
          <w:rFonts w:ascii="Arial" w:hAnsi="Arial" w:cs="Arial"/>
          <w:sz w:val="24"/>
          <w:szCs w:val="24"/>
          <w:lang w:val="es-PR"/>
        </w:rPr>
        <w:t>ra los servicios profesionales;</w:t>
      </w:r>
      <w:r w:rsidRPr="00EE71E2">
        <w:rPr>
          <w:rFonts w:ascii="Arial" w:hAnsi="Arial" w:cs="Arial"/>
          <w:sz w:val="24"/>
          <w:szCs w:val="24"/>
          <w:lang w:val="es-PR"/>
        </w:rPr>
        <w:t xml:space="preserve"> en los años fiscal</w:t>
      </w:r>
      <w:r>
        <w:rPr>
          <w:rFonts w:ascii="Arial" w:hAnsi="Arial" w:cs="Arial"/>
          <w:sz w:val="24"/>
          <w:szCs w:val="24"/>
          <w:lang w:val="es-PR"/>
        </w:rPr>
        <w:t>es 2012-2013 y 2013-2014 fue de</w:t>
      </w:r>
      <w:r w:rsidRPr="00EE71E2">
        <w:rPr>
          <w:rFonts w:ascii="Arial" w:hAnsi="Arial" w:cs="Arial"/>
          <w:sz w:val="24"/>
          <w:szCs w:val="24"/>
          <w:lang w:val="es-PR"/>
        </w:rPr>
        <w:t xml:space="preserve"> $1.6 millones.  La Junta de Direc</w:t>
      </w:r>
      <w:r>
        <w:rPr>
          <w:rFonts w:ascii="Arial" w:hAnsi="Arial" w:cs="Arial"/>
          <w:sz w:val="24"/>
          <w:szCs w:val="24"/>
          <w:lang w:val="es-PR"/>
        </w:rPr>
        <w:t>tores, a tenor con las Órdenes Ejecutivas</w:t>
      </w:r>
      <w:r w:rsidRPr="00EE71E2">
        <w:rPr>
          <w:rFonts w:ascii="Arial" w:hAnsi="Arial" w:cs="Arial"/>
          <w:sz w:val="24"/>
          <w:szCs w:val="24"/>
          <w:lang w:val="es-PR"/>
        </w:rPr>
        <w:t xml:space="preserve"> OE 2013-002 y OE 2013-003 adoptó medidas de reducción de gastos previo a la Ley </w:t>
      </w:r>
      <w:r w:rsidRPr="00EE71E2">
        <w:rPr>
          <w:rFonts w:ascii="Arial" w:hAnsi="Arial" w:cs="Arial"/>
          <w:sz w:val="24"/>
          <w:szCs w:val="24"/>
          <w:lang w:val="es-PR"/>
        </w:rPr>
        <w:lastRenderedPageBreak/>
        <w:t>Núm.66 del 2014.  A tales e</w:t>
      </w:r>
      <w:r>
        <w:rPr>
          <w:rFonts w:ascii="Arial" w:hAnsi="Arial" w:cs="Arial"/>
          <w:sz w:val="24"/>
          <w:szCs w:val="24"/>
          <w:lang w:val="es-PR"/>
        </w:rPr>
        <w:t xml:space="preserve">fectos en los últimos dos años </w:t>
      </w:r>
      <w:r w:rsidRPr="00EE71E2">
        <w:rPr>
          <w:rFonts w:ascii="Arial" w:hAnsi="Arial" w:cs="Arial"/>
          <w:sz w:val="24"/>
          <w:szCs w:val="24"/>
          <w:lang w:val="es-PR"/>
        </w:rPr>
        <w:t xml:space="preserve">fiscales se redujo el Presupuesto a </w:t>
      </w:r>
      <w:r w:rsidRPr="000D3172">
        <w:rPr>
          <w:rFonts w:ascii="Arial" w:hAnsi="Arial" w:cs="Arial"/>
          <w:b/>
          <w:sz w:val="24"/>
          <w:szCs w:val="24"/>
          <w:lang w:val="es-PR"/>
        </w:rPr>
        <w:t>$1 millón</w:t>
      </w:r>
      <w:r w:rsidR="007032A9">
        <w:rPr>
          <w:rFonts w:ascii="Arial" w:hAnsi="Arial" w:cs="Arial"/>
          <w:sz w:val="24"/>
          <w:szCs w:val="24"/>
          <w:lang w:val="es-PR"/>
        </w:rPr>
        <w:t xml:space="preserve">, esto representa una </w:t>
      </w:r>
      <w:r w:rsidRPr="006C736F">
        <w:rPr>
          <w:rFonts w:ascii="Arial" w:hAnsi="Arial" w:cs="Arial"/>
          <w:b/>
          <w:sz w:val="24"/>
          <w:szCs w:val="24"/>
          <w:lang w:val="es-PR"/>
        </w:rPr>
        <w:t>economía de 37.5%</w:t>
      </w:r>
      <w:r w:rsidRPr="00EE71E2">
        <w:rPr>
          <w:rFonts w:ascii="Arial" w:hAnsi="Arial" w:cs="Arial"/>
          <w:sz w:val="24"/>
          <w:szCs w:val="24"/>
          <w:lang w:val="es-PR"/>
        </w:rPr>
        <w:t xml:space="preserve">.  Dicha reducción fue obtenida mediante el ajuste de servicios, tarifas o tareas. </w:t>
      </w:r>
    </w:p>
    <w:p w14:paraId="0D56FDFB" w14:textId="77777777" w:rsidR="00905A03" w:rsidRPr="00905A03" w:rsidRDefault="00905A03" w:rsidP="00905A03">
      <w:pPr>
        <w:spacing w:after="0"/>
        <w:jc w:val="both"/>
        <w:rPr>
          <w:rFonts w:ascii="Arial" w:hAnsi="Arial" w:cs="Arial"/>
          <w:sz w:val="24"/>
          <w:szCs w:val="24"/>
          <w:lang w:val="es-PR"/>
        </w:rPr>
      </w:pPr>
    </w:p>
    <w:p w14:paraId="412A35B4" w14:textId="77777777" w:rsidR="00905A03" w:rsidRDefault="00905A03" w:rsidP="00905A03">
      <w:pPr>
        <w:pStyle w:val="NoSpacing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ANÁLISIS </w:t>
      </w:r>
      <w:r w:rsidRPr="00271B6B">
        <w:rPr>
          <w:rFonts w:ascii="Arial" w:hAnsi="Arial" w:cs="Arial"/>
          <w:b/>
        </w:rPr>
        <w:t>SERVICIOS PROFESIONALES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05A03" w14:paraId="5677A514" w14:textId="77777777" w:rsidTr="00905A03">
        <w:tc>
          <w:tcPr>
            <w:tcW w:w="1870" w:type="dxa"/>
            <w:shd w:val="clear" w:color="auto" w:fill="FFF2CC" w:themeFill="accent4" w:themeFillTint="33"/>
          </w:tcPr>
          <w:p w14:paraId="5A36ED6C" w14:textId="48E09172" w:rsidR="00905A03" w:rsidRPr="00905A03" w:rsidRDefault="00905A03" w:rsidP="00905A03">
            <w:pPr>
              <w:pStyle w:val="NoSpacing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05A03">
              <w:rPr>
                <w:rFonts w:ascii="Arial" w:hAnsi="Arial" w:cs="Arial"/>
                <w:b/>
                <w:sz w:val="20"/>
                <w:szCs w:val="20"/>
              </w:rPr>
              <w:t>AÑO FISCAL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14:paraId="083F2214" w14:textId="6A38A431" w:rsidR="00905A03" w:rsidRPr="00905A03" w:rsidRDefault="00905A03" w:rsidP="00905A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A03">
              <w:rPr>
                <w:rFonts w:ascii="Arial" w:hAnsi="Arial" w:cs="Arial"/>
                <w:b/>
                <w:sz w:val="20"/>
                <w:szCs w:val="20"/>
              </w:rPr>
              <w:t>2011-2012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14:paraId="790B0492" w14:textId="19FFED94" w:rsidR="00905A03" w:rsidRPr="00905A03" w:rsidRDefault="00905A03" w:rsidP="00905A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A03">
              <w:rPr>
                <w:rFonts w:ascii="Arial" w:hAnsi="Arial" w:cs="Arial"/>
                <w:b/>
                <w:sz w:val="20"/>
                <w:szCs w:val="20"/>
              </w:rPr>
              <w:t>2012-2013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14:paraId="36BB54CB" w14:textId="0A4A1153" w:rsidR="00905A03" w:rsidRPr="00905A03" w:rsidRDefault="00905A03" w:rsidP="00905A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A03">
              <w:rPr>
                <w:rFonts w:ascii="Arial" w:hAnsi="Arial" w:cs="Arial"/>
                <w:b/>
                <w:sz w:val="20"/>
                <w:szCs w:val="20"/>
              </w:rPr>
              <w:t>2013-2014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14:paraId="4BB0BE0C" w14:textId="5687465D" w:rsidR="00905A03" w:rsidRPr="00905A03" w:rsidRDefault="00905A03" w:rsidP="00905A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A03">
              <w:rPr>
                <w:rFonts w:ascii="Arial" w:hAnsi="Arial" w:cs="Arial"/>
                <w:b/>
                <w:sz w:val="20"/>
                <w:szCs w:val="20"/>
              </w:rPr>
              <w:t>2014-2015</w:t>
            </w:r>
          </w:p>
        </w:tc>
      </w:tr>
      <w:tr w:rsidR="00905A03" w14:paraId="4737FA8D" w14:textId="77777777" w:rsidTr="00905A03">
        <w:tc>
          <w:tcPr>
            <w:tcW w:w="1870" w:type="dxa"/>
            <w:shd w:val="clear" w:color="auto" w:fill="FFF2CC" w:themeFill="accent4" w:themeFillTint="33"/>
          </w:tcPr>
          <w:p w14:paraId="4704DE7C" w14:textId="374CA779" w:rsidR="00905A03" w:rsidRPr="00905A03" w:rsidRDefault="00D82121" w:rsidP="00905A03">
            <w:pPr>
              <w:pStyle w:val="NoSpacing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PRESU</w:t>
            </w:r>
            <w:r w:rsidR="00905A03" w:rsidRPr="00905A03">
              <w:rPr>
                <w:rFonts w:ascii="Arial" w:hAnsi="Arial" w:cs="Arial"/>
                <w:b/>
                <w:sz w:val="20"/>
                <w:szCs w:val="20"/>
              </w:rPr>
              <w:t>PUESTO</w:t>
            </w:r>
          </w:p>
        </w:tc>
        <w:tc>
          <w:tcPr>
            <w:tcW w:w="1870" w:type="dxa"/>
          </w:tcPr>
          <w:p w14:paraId="20D81C4E" w14:textId="50602C91" w:rsidR="00905A03" w:rsidRPr="00905A03" w:rsidRDefault="00905A03" w:rsidP="00905A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$4,000,000</w:t>
            </w:r>
          </w:p>
        </w:tc>
        <w:tc>
          <w:tcPr>
            <w:tcW w:w="1870" w:type="dxa"/>
          </w:tcPr>
          <w:p w14:paraId="1DC2AD56" w14:textId="149AA93E" w:rsidR="00905A03" w:rsidRPr="00905A03" w:rsidRDefault="00905A03" w:rsidP="00905A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$1,600,000</w:t>
            </w:r>
          </w:p>
        </w:tc>
        <w:tc>
          <w:tcPr>
            <w:tcW w:w="1870" w:type="dxa"/>
          </w:tcPr>
          <w:p w14:paraId="50807D47" w14:textId="0C5B7EF3" w:rsidR="00905A03" w:rsidRPr="00905A03" w:rsidRDefault="00905A03" w:rsidP="00905A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$1,600,000</w:t>
            </w:r>
          </w:p>
        </w:tc>
        <w:tc>
          <w:tcPr>
            <w:tcW w:w="1870" w:type="dxa"/>
          </w:tcPr>
          <w:p w14:paraId="6C53001B" w14:textId="2D21F86F" w:rsidR="00905A03" w:rsidRPr="00905A03" w:rsidRDefault="00905A03" w:rsidP="00905A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$1,000,000</w:t>
            </w:r>
          </w:p>
        </w:tc>
      </w:tr>
    </w:tbl>
    <w:p w14:paraId="6B541824" w14:textId="77777777" w:rsidR="000E3754" w:rsidRDefault="000E3754" w:rsidP="00905A03">
      <w:pPr>
        <w:pStyle w:val="Heading1"/>
        <w:contextualSpacing/>
        <w:rPr>
          <w:rFonts w:ascii="Arial" w:hAnsi="Arial" w:cs="Arial"/>
          <w:b/>
          <w:color w:val="auto"/>
          <w:sz w:val="24"/>
          <w:szCs w:val="24"/>
          <w:lang w:val="es-PR"/>
        </w:rPr>
      </w:pPr>
    </w:p>
    <w:p w14:paraId="69D6E4CA" w14:textId="1B99C13B" w:rsidR="00F24124" w:rsidRPr="00BD4A95" w:rsidRDefault="00113B0F" w:rsidP="00905A03">
      <w:pPr>
        <w:pStyle w:val="Heading1"/>
        <w:contextualSpacing/>
        <w:rPr>
          <w:rFonts w:ascii="Arial" w:hAnsi="Arial" w:cs="Arial"/>
          <w:b/>
          <w:color w:val="auto"/>
          <w:sz w:val="24"/>
          <w:szCs w:val="24"/>
          <w:u w:val="single"/>
          <w:lang w:val="es-PR"/>
        </w:rPr>
      </w:pPr>
      <w:r w:rsidRPr="00BD4A95">
        <w:rPr>
          <w:rFonts w:ascii="Arial" w:hAnsi="Arial" w:cs="Arial"/>
          <w:b/>
          <w:color w:val="auto"/>
          <w:sz w:val="24"/>
          <w:szCs w:val="24"/>
          <w:u w:val="single"/>
          <w:lang w:val="es-PR"/>
        </w:rPr>
        <w:t xml:space="preserve">PROYECTOS </w:t>
      </w:r>
      <w:bookmarkEnd w:id="4"/>
    </w:p>
    <w:p w14:paraId="51DF54B3" w14:textId="13D7F596" w:rsidR="00643962" w:rsidRPr="00BD4A95" w:rsidRDefault="00643962" w:rsidP="00643962">
      <w:pPr>
        <w:jc w:val="both"/>
        <w:rPr>
          <w:rFonts w:ascii="Arial" w:hAnsi="Arial" w:cs="Arial"/>
          <w:sz w:val="24"/>
          <w:szCs w:val="24"/>
          <w:lang w:val="es-PR"/>
        </w:rPr>
      </w:pPr>
      <w:r w:rsidRPr="00BD4A95">
        <w:rPr>
          <w:rFonts w:ascii="Arial" w:hAnsi="Arial" w:cs="Arial"/>
          <w:i/>
          <w:sz w:val="24"/>
          <w:szCs w:val="24"/>
          <w:lang w:val="es-PR"/>
        </w:rPr>
        <w:t>La Autoridad</w:t>
      </w:r>
      <w:r w:rsidRPr="00BD4A95">
        <w:rPr>
          <w:rFonts w:ascii="Arial" w:hAnsi="Arial" w:cs="Arial"/>
          <w:sz w:val="24"/>
          <w:szCs w:val="24"/>
          <w:lang w:val="es-PR"/>
        </w:rPr>
        <w:t xml:space="preserve"> completó dentro del periodo del 2013 al 2016, 92 proyectos de mejoras, nueva construcción y remodelación con una inversión total aproximada de $ 163.1 millones.  Actualmente mantiene 6 proyectos en construcción, con una inversión estimada de $7.8 millones.  A continuación mencionamos algunos de nuestros </w:t>
      </w:r>
      <w:r w:rsidR="00BD4A95">
        <w:rPr>
          <w:rFonts w:ascii="Arial" w:hAnsi="Arial" w:cs="Arial"/>
          <w:b/>
          <w:sz w:val="24"/>
          <w:szCs w:val="24"/>
          <w:lang w:val="es-PR"/>
        </w:rPr>
        <w:t>P</w:t>
      </w:r>
      <w:r w:rsidRPr="00BD4A95">
        <w:rPr>
          <w:rFonts w:ascii="Arial" w:hAnsi="Arial" w:cs="Arial"/>
          <w:b/>
          <w:sz w:val="24"/>
          <w:szCs w:val="24"/>
          <w:lang w:val="es-PR"/>
        </w:rPr>
        <w:t xml:space="preserve">royectos </w:t>
      </w:r>
      <w:r w:rsidR="00BD4A95">
        <w:rPr>
          <w:rFonts w:ascii="Arial" w:hAnsi="Arial" w:cs="Arial"/>
          <w:b/>
          <w:sz w:val="24"/>
          <w:szCs w:val="24"/>
          <w:lang w:val="es-PR"/>
        </w:rPr>
        <w:t>E</w:t>
      </w:r>
      <w:r w:rsidRPr="00BD4A95">
        <w:rPr>
          <w:rFonts w:ascii="Arial" w:hAnsi="Arial" w:cs="Arial"/>
          <w:b/>
          <w:sz w:val="24"/>
          <w:szCs w:val="24"/>
          <w:lang w:val="es-PR"/>
        </w:rPr>
        <w:t>mblemáticos</w:t>
      </w:r>
      <w:r w:rsidRPr="00BD4A95">
        <w:rPr>
          <w:rFonts w:ascii="Arial" w:hAnsi="Arial" w:cs="Arial"/>
          <w:sz w:val="24"/>
          <w:szCs w:val="24"/>
          <w:lang w:val="es-PR"/>
        </w:rPr>
        <w:t xml:space="preserve">: </w:t>
      </w:r>
    </w:p>
    <w:p w14:paraId="6D666159" w14:textId="0BB0104D" w:rsidR="009E7D44" w:rsidRPr="00F97B18" w:rsidRDefault="000E245F" w:rsidP="00905A03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lang w:val="es-PR"/>
        </w:rPr>
      </w:pPr>
      <w:r w:rsidRPr="00F97B18">
        <w:rPr>
          <w:rFonts w:ascii="Arial" w:hAnsi="Arial" w:cs="Arial"/>
          <w:b/>
          <w:lang w:val="es-ES_tradnl"/>
        </w:rPr>
        <w:t xml:space="preserve">Escuela Superior con Ofrecimiento Vocacional, en el Barrio San Isidro de </w:t>
      </w:r>
      <w:proofErr w:type="spellStart"/>
      <w:r w:rsidRPr="00F97B18">
        <w:rPr>
          <w:rFonts w:ascii="Arial" w:hAnsi="Arial" w:cs="Arial"/>
          <w:b/>
          <w:lang w:val="es-ES_tradnl"/>
        </w:rPr>
        <w:t>Canóvanas</w:t>
      </w:r>
      <w:proofErr w:type="spellEnd"/>
      <w:r w:rsidR="006C736F" w:rsidRPr="00F97B18">
        <w:rPr>
          <w:rFonts w:ascii="Arial" w:hAnsi="Arial" w:cs="Arial"/>
          <w:lang w:val="es-ES_tradnl"/>
        </w:rPr>
        <w:t xml:space="preserve"> -</w:t>
      </w:r>
      <w:r w:rsidR="00036BA2" w:rsidRPr="00F97B18">
        <w:rPr>
          <w:rFonts w:ascii="Arial" w:hAnsi="Arial" w:cs="Arial"/>
          <w:lang w:val="es-ES_tradnl"/>
        </w:rPr>
        <w:t xml:space="preserve"> </w:t>
      </w:r>
      <w:r w:rsidR="006C736F" w:rsidRPr="00F97B18">
        <w:rPr>
          <w:rFonts w:ascii="Arial" w:hAnsi="Arial" w:cs="Arial"/>
          <w:lang w:val="es-ES_tradnl"/>
        </w:rPr>
        <w:t>C</w:t>
      </w:r>
      <w:r w:rsidR="00036BA2" w:rsidRPr="00F97B18">
        <w:rPr>
          <w:rFonts w:ascii="Arial" w:hAnsi="Arial" w:cs="Arial"/>
          <w:lang w:val="es-ES_tradnl"/>
        </w:rPr>
        <w:t>on una inversión total de $24.8</w:t>
      </w:r>
      <w:r w:rsidRPr="00F97B18">
        <w:rPr>
          <w:rFonts w:ascii="Arial" w:hAnsi="Arial" w:cs="Arial"/>
          <w:lang w:val="es-ES_tradnl"/>
        </w:rPr>
        <w:t xml:space="preserve"> millones,</w:t>
      </w:r>
      <w:r w:rsidR="004545AB" w:rsidRPr="00F97B18">
        <w:rPr>
          <w:rFonts w:ascii="Arial" w:hAnsi="Arial" w:cs="Arial"/>
          <w:lang w:val="es-ES_tradnl"/>
        </w:rPr>
        <w:t xml:space="preserve"> la cual fue</w:t>
      </w:r>
      <w:r w:rsidRPr="00F97B18">
        <w:rPr>
          <w:rFonts w:ascii="Arial" w:hAnsi="Arial" w:cs="Arial"/>
          <w:lang w:val="es-ES_tradnl"/>
        </w:rPr>
        <w:t xml:space="preserve"> completada y entregada al Departamento de Educaci</w:t>
      </w:r>
      <w:r w:rsidR="00A90AF2" w:rsidRPr="00F97B18">
        <w:rPr>
          <w:rFonts w:ascii="Arial" w:hAnsi="Arial" w:cs="Arial"/>
          <w:lang w:val="es-ES_tradnl"/>
        </w:rPr>
        <w:t>ón en el mes de julio del 2015.</w:t>
      </w:r>
    </w:p>
    <w:p w14:paraId="6E7EA5EB" w14:textId="77777777" w:rsidR="00A90AF2" w:rsidRPr="00F97B18" w:rsidRDefault="00A90AF2" w:rsidP="00A90AF2">
      <w:pPr>
        <w:pStyle w:val="ListParagraph"/>
        <w:spacing w:after="0"/>
        <w:jc w:val="both"/>
        <w:rPr>
          <w:rFonts w:ascii="Arial" w:hAnsi="Arial" w:cs="Arial"/>
          <w:lang w:val="es-PR"/>
        </w:rPr>
      </w:pPr>
    </w:p>
    <w:p w14:paraId="754E9639" w14:textId="43F69C73" w:rsidR="00F24124" w:rsidRPr="00F97B18" w:rsidRDefault="000E245F" w:rsidP="00402091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lang w:val="es-PR"/>
        </w:rPr>
      </w:pPr>
      <w:r w:rsidRPr="00F97B18">
        <w:rPr>
          <w:rFonts w:ascii="Arial" w:hAnsi="Arial" w:cs="Arial"/>
          <w:lang w:val="es-ES_tradnl"/>
        </w:rPr>
        <w:t xml:space="preserve"> </w:t>
      </w:r>
      <w:r w:rsidR="00F97B18">
        <w:rPr>
          <w:rFonts w:ascii="Arial" w:hAnsi="Arial" w:cs="Arial"/>
          <w:b/>
          <w:lang w:val="es-ES_tradnl"/>
        </w:rPr>
        <w:t>R</w:t>
      </w:r>
      <w:r w:rsidRPr="00F97B18">
        <w:rPr>
          <w:rFonts w:ascii="Arial" w:hAnsi="Arial" w:cs="Arial"/>
          <w:b/>
          <w:lang w:val="es-ES_tradnl"/>
        </w:rPr>
        <w:t xml:space="preserve">emodelación del Centro de Gobierno en </w:t>
      </w:r>
      <w:proofErr w:type="spellStart"/>
      <w:r w:rsidRPr="00F97B18">
        <w:rPr>
          <w:rFonts w:ascii="Arial" w:hAnsi="Arial" w:cs="Arial"/>
          <w:b/>
          <w:lang w:val="es-ES_tradnl"/>
        </w:rPr>
        <w:t>Coamo</w:t>
      </w:r>
      <w:proofErr w:type="spellEnd"/>
      <w:r w:rsidR="006C736F" w:rsidRPr="00F97B18">
        <w:rPr>
          <w:rFonts w:ascii="Arial" w:hAnsi="Arial" w:cs="Arial"/>
          <w:lang w:val="es-ES_tradnl"/>
        </w:rPr>
        <w:t xml:space="preserve"> - </w:t>
      </w:r>
      <w:r w:rsidRPr="00F97B18">
        <w:rPr>
          <w:rFonts w:ascii="Arial" w:hAnsi="Arial" w:cs="Arial"/>
          <w:lang w:val="es-ES_tradnl"/>
        </w:rPr>
        <w:t xml:space="preserve"> </w:t>
      </w:r>
      <w:r w:rsidR="00F97B18">
        <w:rPr>
          <w:rFonts w:ascii="Arial" w:hAnsi="Arial" w:cs="Arial"/>
          <w:lang w:val="es-ES_tradnl"/>
        </w:rPr>
        <w:t xml:space="preserve">Se realizaron mejoras para el cumplimiento con ADA entre otras, </w:t>
      </w:r>
      <w:r w:rsidRPr="00F97B18">
        <w:rPr>
          <w:rFonts w:ascii="Arial" w:hAnsi="Arial" w:cs="Arial"/>
          <w:lang w:val="es-ES_tradnl"/>
        </w:rPr>
        <w:t xml:space="preserve">con una inversión total de $252,200 </w:t>
      </w:r>
      <w:r w:rsidR="004545AB" w:rsidRPr="00F97B18">
        <w:rPr>
          <w:rFonts w:ascii="Arial" w:hAnsi="Arial" w:cs="Arial"/>
          <w:lang w:val="es-ES_tradnl"/>
        </w:rPr>
        <w:t>terminada</w:t>
      </w:r>
      <w:r w:rsidRPr="00F97B18">
        <w:rPr>
          <w:rFonts w:ascii="Arial" w:hAnsi="Arial" w:cs="Arial"/>
          <w:lang w:val="es-ES_tradnl"/>
        </w:rPr>
        <w:t xml:space="preserve"> </w:t>
      </w:r>
      <w:r w:rsidR="004545AB" w:rsidRPr="00F97B18">
        <w:rPr>
          <w:rFonts w:ascii="Arial" w:hAnsi="Arial" w:cs="Arial"/>
          <w:lang w:val="es-ES_tradnl"/>
        </w:rPr>
        <w:t>en</w:t>
      </w:r>
      <w:r w:rsidR="00F24124" w:rsidRPr="00F97B18">
        <w:rPr>
          <w:rFonts w:ascii="Arial" w:hAnsi="Arial" w:cs="Arial"/>
          <w:lang w:val="es-ES_tradnl"/>
        </w:rPr>
        <w:t xml:space="preserve"> septiembre 2015.</w:t>
      </w:r>
    </w:p>
    <w:p w14:paraId="60D8076C" w14:textId="77777777" w:rsidR="00F24124" w:rsidRPr="00F97B18" w:rsidRDefault="00F24124" w:rsidP="00402091">
      <w:pPr>
        <w:pStyle w:val="ListParagraph"/>
        <w:spacing w:after="0"/>
        <w:jc w:val="both"/>
        <w:rPr>
          <w:rFonts w:ascii="Arial" w:hAnsi="Arial" w:cs="Arial"/>
          <w:lang w:val="es-PR"/>
        </w:rPr>
      </w:pPr>
    </w:p>
    <w:p w14:paraId="4A83E98B" w14:textId="4ED37BCC" w:rsidR="00F24124" w:rsidRPr="00F97B18" w:rsidRDefault="00A96BDF" w:rsidP="00402091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lang w:val="es-PR"/>
        </w:rPr>
      </w:pPr>
      <w:r w:rsidRPr="00F97B18">
        <w:rPr>
          <w:rFonts w:ascii="Arial" w:hAnsi="Arial" w:cs="Arial"/>
          <w:b/>
          <w:lang w:val="es-PR"/>
        </w:rPr>
        <w:t>Proyecto de Mejoras para Rendimiento Energético en el Centro Gubernamental Minillas</w:t>
      </w:r>
      <w:r w:rsidR="006C736F" w:rsidRPr="00F97B18">
        <w:rPr>
          <w:rFonts w:ascii="Arial" w:hAnsi="Arial" w:cs="Arial"/>
          <w:b/>
          <w:lang w:val="es-PR"/>
        </w:rPr>
        <w:t xml:space="preserve"> </w:t>
      </w:r>
      <w:r w:rsidR="000B0BC8" w:rsidRPr="00F97B18">
        <w:rPr>
          <w:rFonts w:ascii="Arial" w:hAnsi="Arial" w:cs="Arial"/>
          <w:lang w:val="es-PR"/>
        </w:rPr>
        <w:t>-</w:t>
      </w:r>
      <w:r w:rsidRPr="00F97B18">
        <w:rPr>
          <w:rFonts w:ascii="Arial" w:hAnsi="Arial" w:cs="Arial"/>
          <w:lang w:val="es-PR"/>
        </w:rPr>
        <w:t xml:space="preserve"> </w:t>
      </w:r>
      <w:r w:rsidR="000B0BC8" w:rsidRPr="00F97B18">
        <w:rPr>
          <w:rFonts w:ascii="Arial" w:hAnsi="Arial" w:cs="Arial"/>
          <w:lang w:val="es-PR"/>
        </w:rPr>
        <w:t>Implementación de medidas de Conservación Energéticas (</w:t>
      </w:r>
      <w:proofErr w:type="spellStart"/>
      <w:r w:rsidR="000B0BC8" w:rsidRPr="00F97B18">
        <w:rPr>
          <w:rFonts w:ascii="Arial" w:hAnsi="Arial" w:cs="Arial"/>
          <w:lang w:val="es-PR"/>
        </w:rPr>
        <w:t>ECMs</w:t>
      </w:r>
      <w:proofErr w:type="spellEnd"/>
      <w:r w:rsidR="000B0BC8" w:rsidRPr="00F97B18">
        <w:rPr>
          <w:rFonts w:ascii="Arial" w:hAnsi="Arial" w:cs="Arial"/>
          <w:lang w:val="es-PR"/>
        </w:rPr>
        <w:t>) alcanzando econ</w:t>
      </w:r>
      <w:r w:rsidR="007032A9" w:rsidRPr="00F97B18">
        <w:rPr>
          <w:rFonts w:ascii="Arial" w:hAnsi="Arial" w:cs="Arial"/>
          <w:lang w:val="es-PR"/>
        </w:rPr>
        <w:t>omías de aproximadamente de $1.5</w:t>
      </w:r>
      <w:r w:rsidR="000B0BC8" w:rsidRPr="00F97B18">
        <w:rPr>
          <w:rFonts w:ascii="Arial" w:hAnsi="Arial" w:cs="Arial"/>
          <w:lang w:val="es-PR"/>
        </w:rPr>
        <w:t xml:space="preserve"> millones anuales</w:t>
      </w:r>
      <w:r w:rsidRPr="00F97B18">
        <w:rPr>
          <w:rFonts w:ascii="Arial" w:hAnsi="Arial" w:cs="Arial"/>
          <w:lang w:val="es-ES_tradnl"/>
        </w:rPr>
        <w:t>.</w:t>
      </w:r>
      <w:r w:rsidR="000E245F" w:rsidRPr="00F97B18">
        <w:rPr>
          <w:rFonts w:ascii="Arial" w:hAnsi="Arial" w:cs="Arial"/>
          <w:lang w:val="es-ES_tradnl"/>
        </w:rPr>
        <w:t xml:space="preserve">  </w:t>
      </w:r>
      <w:r w:rsidR="000B0BC8" w:rsidRPr="00F97B18">
        <w:rPr>
          <w:rFonts w:ascii="Arial" w:hAnsi="Arial" w:cs="Arial"/>
          <w:lang w:val="es-ES_tradnl"/>
        </w:rPr>
        <w:t xml:space="preserve">Proyecto completado en junio 2016 </w:t>
      </w:r>
      <w:r w:rsidR="00F97B18">
        <w:rPr>
          <w:rFonts w:ascii="Arial" w:hAnsi="Arial" w:cs="Arial"/>
          <w:lang w:val="es-ES_tradnl"/>
        </w:rPr>
        <w:t>con una inversión total aproximada</w:t>
      </w:r>
      <w:r w:rsidR="000B0BC8" w:rsidRPr="00F97B18">
        <w:rPr>
          <w:rFonts w:ascii="Arial" w:hAnsi="Arial" w:cs="Arial"/>
          <w:lang w:val="es-ES_tradnl"/>
        </w:rPr>
        <w:t xml:space="preserve"> de $</w:t>
      </w:r>
      <w:r w:rsidR="00AB54AD" w:rsidRPr="00F97B18">
        <w:rPr>
          <w:rFonts w:ascii="Arial" w:hAnsi="Arial" w:cs="Arial"/>
          <w:lang w:val="es-ES_tradnl"/>
        </w:rPr>
        <w:t>20.4 millones.</w:t>
      </w:r>
    </w:p>
    <w:p w14:paraId="731E2225" w14:textId="77777777" w:rsidR="0014616E" w:rsidRPr="00F97B18" w:rsidRDefault="0014616E" w:rsidP="00402091">
      <w:pPr>
        <w:pStyle w:val="ListParagraph"/>
        <w:rPr>
          <w:rFonts w:ascii="Arial" w:hAnsi="Arial" w:cs="Arial"/>
          <w:lang w:val="es-PR"/>
        </w:rPr>
      </w:pPr>
    </w:p>
    <w:p w14:paraId="2A9A0E2A" w14:textId="7262C9F9" w:rsidR="0014616E" w:rsidRPr="00F97B18" w:rsidRDefault="0014616E" w:rsidP="00402091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lang w:val="es-PR"/>
        </w:rPr>
      </w:pPr>
      <w:r w:rsidRPr="00F97B18">
        <w:rPr>
          <w:rFonts w:ascii="Arial" w:hAnsi="Arial" w:cs="Arial"/>
          <w:b/>
          <w:lang w:val="es-PR"/>
        </w:rPr>
        <w:t xml:space="preserve">Proyecto de Rendimiento Energético </w:t>
      </w:r>
      <w:r w:rsidR="00F97B18">
        <w:rPr>
          <w:rFonts w:ascii="Arial" w:hAnsi="Arial" w:cs="Arial"/>
          <w:b/>
          <w:lang w:val="es-PR"/>
        </w:rPr>
        <w:t xml:space="preserve">en el Centro de Gobierno de </w:t>
      </w:r>
      <w:r w:rsidRPr="00F97B18">
        <w:rPr>
          <w:rFonts w:ascii="Arial" w:hAnsi="Arial" w:cs="Arial"/>
          <w:b/>
          <w:lang w:val="es-PR"/>
        </w:rPr>
        <w:t>Aguadilla</w:t>
      </w:r>
      <w:r w:rsidR="006C736F" w:rsidRPr="00F97B18">
        <w:rPr>
          <w:rFonts w:ascii="Arial" w:hAnsi="Arial" w:cs="Arial"/>
          <w:lang w:val="es-PR"/>
        </w:rPr>
        <w:t xml:space="preserve"> - </w:t>
      </w:r>
      <w:r w:rsidR="002615A9" w:rsidRPr="00F97B18">
        <w:rPr>
          <w:rFonts w:ascii="Arial" w:hAnsi="Arial" w:cs="Arial"/>
          <w:lang w:val="es-PR"/>
        </w:rPr>
        <w:t>Implementación de medidas de Conservación Energéticas (</w:t>
      </w:r>
      <w:proofErr w:type="spellStart"/>
      <w:r w:rsidR="002615A9" w:rsidRPr="00F97B18">
        <w:rPr>
          <w:rFonts w:ascii="Arial" w:hAnsi="Arial" w:cs="Arial"/>
          <w:lang w:val="es-PR"/>
        </w:rPr>
        <w:t>ECMs</w:t>
      </w:r>
      <w:proofErr w:type="spellEnd"/>
      <w:r w:rsidR="002615A9" w:rsidRPr="00F97B18">
        <w:rPr>
          <w:rFonts w:ascii="Arial" w:hAnsi="Arial" w:cs="Arial"/>
          <w:lang w:val="es-PR"/>
        </w:rPr>
        <w:t>) alcanzando economías de aproximadamente de $250,000 anuales.  Proyecto completado en noviembre de 2014 con</w:t>
      </w:r>
      <w:r w:rsidRPr="00F97B18">
        <w:rPr>
          <w:rFonts w:ascii="Arial" w:hAnsi="Arial" w:cs="Arial"/>
          <w:lang w:val="es-PR"/>
        </w:rPr>
        <w:t xml:space="preserve"> una inversión </w:t>
      </w:r>
      <w:r w:rsidR="00F97B18">
        <w:rPr>
          <w:rFonts w:ascii="Arial" w:hAnsi="Arial" w:cs="Arial"/>
          <w:lang w:val="es-PR"/>
        </w:rPr>
        <w:t xml:space="preserve">total </w:t>
      </w:r>
      <w:r w:rsidRPr="00F97B18">
        <w:rPr>
          <w:rFonts w:ascii="Arial" w:hAnsi="Arial" w:cs="Arial"/>
          <w:lang w:val="es-PR"/>
        </w:rPr>
        <w:t>de</w:t>
      </w:r>
      <w:r w:rsidR="002615A9" w:rsidRPr="00F97B18">
        <w:rPr>
          <w:rFonts w:ascii="Arial" w:hAnsi="Arial" w:cs="Arial"/>
          <w:lang w:val="es-PR"/>
        </w:rPr>
        <w:t xml:space="preserve"> aproximadamente</w:t>
      </w:r>
      <w:r w:rsidRPr="00F97B18">
        <w:rPr>
          <w:rFonts w:ascii="Arial" w:hAnsi="Arial" w:cs="Arial"/>
          <w:lang w:val="es-PR"/>
        </w:rPr>
        <w:t xml:space="preserve"> $2 millones</w:t>
      </w:r>
      <w:r w:rsidR="002615A9" w:rsidRPr="00F97B18">
        <w:rPr>
          <w:rFonts w:ascii="Arial" w:hAnsi="Arial" w:cs="Arial"/>
          <w:lang w:val="es-PR"/>
        </w:rPr>
        <w:t>.</w:t>
      </w:r>
    </w:p>
    <w:p w14:paraId="3264B48B" w14:textId="77777777" w:rsidR="00F24124" w:rsidRPr="00F97B18" w:rsidRDefault="00F24124" w:rsidP="00402091">
      <w:pPr>
        <w:pStyle w:val="ListParagraph"/>
        <w:rPr>
          <w:rFonts w:ascii="Arial" w:hAnsi="Arial" w:cs="Arial"/>
          <w:lang w:val="es-ES_tradnl"/>
        </w:rPr>
      </w:pPr>
    </w:p>
    <w:p w14:paraId="6B7B9CC4" w14:textId="03EE09E7" w:rsidR="00F24124" w:rsidRPr="00F97B18" w:rsidRDefault="00F24124" w:rsidP="00402091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lang w:val="es-PR"/>
        </w:rPr>
      </w:pPr>
      <w:r w:rsidRPr="00F97B18">
        <w:rPr>
          <w:rFonts w:ascii="Arial" w:hAnsi="Arial" w:cs="Arial"/>
          <w:b/>
          <w:lang w:val="es-ES_tradnl"/>
        </w:rPr>
        <w:t>R</w:t>
      </w:r>
      <w:r w:rsidR="000E245F" w:rsidRPr="00F97B18">
        <w:rPr>
          <w:rFonts w:ascii="Arial" w:hAnsi="Arial" w:cs="Arial"/>
          <w:b/>
          <w:lang w:val="es-ES_tradnl"/>
        </w:rPr>
        <w:t>ehabilitación de las instalaciones de la Secretaría Auxiliar de Adiestramiento y Promoción de Empleos (SAAPE)</w:t>
      </w:r>
      <w:r w:rsidR="006C736F" w:rsidRPr="00F97B18">
        <w:rPr>
          <w:rFonts w:ascii="Arial" w:hAnsi="Arial" w:cs="Arial"/>
          <w:lang w:val="es-ES_tradnl"/>
        </w:rPr>
        <w:t xml:space="preserve"> - </w:t>
      </w:r>
      <w:r w:rsidR="000E245F" w:rsidRPr="00F97B18">
        <w:rPr>
          <w:rFonts w:ascii="Arial" w:hAnsi="Arial" w:cs="Arial"/>
          <w:lang w:val="es-ES_tradnl"/>
        </w:rPr>
        <w:t xml:space="preserve">mediante un acuerdo </w:t>
      </w:r>
      <w:proofErr w:type="spellStart"/>
      <w:r w:rsidR="00C50A70" w:rsidRPr="00F97B18">
        <w:rPr>
          <w:rFonts w:ascii="Arial" w:hAnsi="Arial" w:cs="Arial"/>
          <w:lang w:val="es-ES_tradnl"/>
        </w:rPr>
        <w:t>Interagencial</w:t>
      </w:r>
      <w:proofErr w:type="spellEnd"/>
      <w:r w:rsidR="00C50A70" w:rsidRPr="00F97B18">
        <w:rPr>
          <w:rFonts w:ascii="Arial" w:hAnsi="Arial" w:cs="Arial"/>
          <w:lang w:val="es-ES_tradnl"/>
        </w:rPr>
        <w:t xml:space="preserve"> suscrito </w:t>
      </w:r>
      <w:r w:rsidR="000E245F" w:rsidRPr="00F97B18">
        <w:rPr>
          <w:rFonts w:ascii="Arial" w:hAnsi="Arial" w:cs="Arial"/>
          <w:lang w:val="es-ES_tradnl"/>
        </w:rPr>
        <w:t>con el Departamento del Trabajo, con una inversión total de $350 mil dólares</w:t>
      </w:r>
      <w:r w:rsidR="00C50A70" w:rsidRPr="00F97B18">
        <w:rPr>
          <w:rFonts w:ascii="Arial" w:hAnsi="Arial" w:cs="Arial"/>
          <w:lang w:val="es-ES_tradnl"/>
        </w:rPr>
        <w:t>, la misma fue</w:t>
      </w:r>
      <w:r w:rsidR="000E245F" w:rsidRPr="00F97B18">
        <w:rPr>
          <w:rFonts w:ascii="Arial" w:hAnsi="Arial" w:cs="Arial"/>
          <w:lang w:val="es-ES_tradnl"/>
        </w:rPr>
        <w:t xml:space="preserve"> </w:t>
      </w:r>
      <w:r w:rsidR="00C50A70" w:rsidRPr="00F97B18">
        <w:rPr>
          <w:rFonts w:ascii="Arial" w:hAnsi="Arial" w:cs="Arial"/>
          <w:lang w:val="es-ES_tradnl"/>
        </w:rPr>
        <w:t>culminada en</w:t>
      </w:r>
      <w:r w:rsidR="000E245F" w:rsidRPr="00F97B18">
        <w:rPr>
          <w:rFonts w:ascii="Arial" w:hAnsi="Arial" w:cs="Arial"/>
          <w:lang w:val="es-ES_tradnl"/>
        </w:rPr>
        <w:t xml:space="preserve"> noviembre d</w:t>
      </w:r>
      <w:r w:rsidR="00C50A70" w:rsidRPr="00F97B18">
        <w:rPr>
          <w:rFonts w:ascii="Arial" w:hAnsi="Arial" w:cs="Arial"/>
          <w:lang w:val="es-ES_tradnl"/>
        </w:rPr>
        <w:t xml:space="preserve">el 2015.  Este acuerdo </w:t>
      </w:r>
      <w:r w:rsidR="000E245F" w:rsidRPr="00F97B18">
        <w:rPr>
          <w:rFonts w:ascii="Arial" w:hAnsi="Arial" w:cs="Arial"/>
          <w:lang w:val="es-ES_tradnl"/>
        </w:rPr>
        <w:t xml:space="preserve"> </w:t>
      </w:r>
      <w:r w:rsidR="00C50A70" w:rsidRPr="00F97B18">
        <w:rPr>
          <w:rFonts w:ascii="Arial" w:hAnsi="Arial" w:cs="Arial"/>
          <w:lang w:val="es-ES_tradnl"/>
        </w:rPr>
        <w:t>generó</w:t>
      </w:r>
      <w:r w:rsidR="000E245F" w:rsidRPr="00F97B18">
        <w:rPr>
          <w:rFonts w:ascii="Arial" w:hAnsi="Arial" w:cs="Arial"/>
          <w:lang w:val="es-ES_tradnl"/>
        </w:rPr>
        <w:t xml:space="preserve"> una economía </w:t>
      </w:r>
      <w:r w:rsidR="005F2511" w:rsidRPr="00F97B18">
        <w:rPr>
          <w:rFonts w:ascii="Arial" w:hAnsi="Arial" w:cs="Arial"/>
          <w:lang w:val="es-ES_tradnl"/>
        </w:rPr>
        <w:t>aproximada de</w:t>
      </w:r>
      <w:r w:rsidR="000E245F" w:rsidRPr="00F97B18">
        <w:rPr>
          <w:rFonts w:ascii="Arial" w:hAnsi="Arial" w:cs="Arial"/>
          <w:lang w:val="es-ES_tradnl"/>
        </w:rPr>
        <w:t xml:space="preserve"> 15% en la partida </w:t>
      </w:r>
      <w:r w:rsidR="00C50A70" w:rsidRPr="00F97B18">
        <w:rPr>
          <w:rFonts w:ascii="Arial" w:hAnsi="Arial" w:cs="Arial"/>
          <w:lang w:val="es-ES_tradnl"/>
        </w:rPr>
        <w:t>administrativa</w:t>
      </w:r>
      <w:r w:rsidR="000E245F" w:rsidRPr="00F97B18">
        <w:rPr>
          <w:rFonts w:ascii="Arial" w:hAnsi="Arial" w:cs="Arial"/>
          <w:lang w:val="es-ES_tradnl"/>
        </w:rPr>
        <w:t xml:space="preserve"> del proyecto.</w:t>
      </w:r>
      <w:r w:rsidR="00A96BDF" w:rsidRPr="00F97B18">
        <w:rPr>
          <w:rFonts w:ascii="Arial" w:hAnsi="Arial" w:cs="Arial"/>
          <w:lang w:val="es-ES_tradnl"/>
        </w:rPr>
        <w:t xml:space="preserve">  </w:t>
      </w:r>
    </w:p>
    <w:p w14:paraId="49313C04" w14:textId="410F4878" w:rsidR="00F24124" w:rsidRPr="00F97B18" w:rsidRDefault="00F24124" w:rsidP="00F24124">
      <w:pPr>
        <w:pStyle w:val="ListParagraph"/>
        <w:rPr>
          <w:rFonts w:ascii="Arial" w:hAnsi="Arial" w:cs="Arial"/>
          <w:lang w:val="es-ES_tradnl"/>
        </w:rPr>
      </w:pPr>
    </w:p>
    <w:p w14:paraId="795A1FD8" w14:textId="53B3A8A0" w:rsidR="006C736F" w:rsidRPr="00F97B18" w:rsidRDefault="00F97B18" w:rsidP="00402091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lang w:val="es-PR"/>
        </w:rPr>
      </w:pPr>
      <w:r>
        <w:rPr>
          <w:rFonts w:ascii="Arial" w:hAnsi="Arial" w:cs="Arial"/>
          <w:b/>
          <w:lang w:val="es-ES_tradnl"/>
        </w:rPr>
        <w:t>R</w:t>
      </w:r>
      <w:r w:rsidR="00A96BDF" w:rsidRPr="00F97B18">
        <w:rPr>
          <w:rFonts w:ascii="Arial" w:hAnsi="Arial" w:cs="Arial"/>
          <w:b/>
          <w:lang w:val="es-ES_tradnl"/>
        </w:rPr>
        <w:t>ehabilitación de la Esc. José de Diego en Mayagüez</w:t>
      </w:r>
      <w:r w:rsidR="006C736F" w:rsidRPr="00F97B18">
        <w:rPr>
          <w:rFonts w:ascii="Arial" w:hAnsi="Arial" w:cs="Arial"/>
          <w:b/>
          <w:lang w:val="es-ES_tradnl"/>
        </w:rPr>
        <w:t xml:space="preserve"> – </w:t>
      </w:r>
      <w:r w:rsidR="007032A9" w:rsidRPr="00F97B18">
        <w:rPr>
          <w:rFonts w:ascii="Arial" w:hAnsi="Arial" w:cs="Arial"/>
          <w:lang w:val="es-ES_tradnl"/>
        </w:rPr>
        <w:t>facilidades para el</w:t>
      </w:r>
      <w:r w:rsidR="00A96BDF" w:rsidRPr="00F97B18">
        <w:rPr>
          <w:rFonts w:ascii="Arial" w:hAnsi="Arial" w:cs="Arial"/>
          <w:lang w:val="es-ES_tradnl"/>
        </w:rPr>
        <w:t xml:space="preserve"> Nuevo Centro de Servicios de Educación Especial</w:t>
      </w:r>
      <w:r>
        <w:rPr>
          <w:rFonts w:ascii="Arial" w:hAnsi="Arial" w:cs="Arial"/>
          <w:lang w:val="es-ES_tradnl"/>
        </w:rPr>
        <w:t xml:space="preserve"> del Departamento de Educación</w:t>
      </w:r>
      <w:r w:rsidR="00A025F5" w:rsidRPr="00F97B18">
        <w:rPr>
          <w:rFonts w:ascii="Arial" w:hAnsi="Arial" w:cs="Arial"/>
          <w:lang w:val="es-ES_tradnl"/>
        </w:rPr>
        <w:t>. Proyecto completado en julio 2016</w:t>
      </w:r>
      <w:r w:rsidR="006C736F" w:rsidRPr="00F97B18">
        <w:rPr>
          <w:rFonts w:ascii="Arial" w:hAnsi="Arial" w:cs="Arial"/>
          <w:lang w:val="es-ES_tradnl"/>
        </w:rPr>
        <w:t xml:space="preserve"> a un costo de $1.1 millones</w:t>
      </w:r>
      <w:r w:rsidR="00A025F5" w:rsidRPr="00F97B18">
        <w:rPr>
          <w:rFonts w:ascii="Arial" w:hAnsi="Arial" w:cs="Arial"/>
          <w:lang w:val="es-ES_tradnl"/>
        </w:rPr>
        <w:t>.</w:t>
      </w:r>
    </w:p>
    <w:p w14:paraId="7C6E0B0C" w14:textId="77777777" w:rsidR="00A90AF2" w:rsidRPr="00F97B18" w:rsidRDefault="00A90AF2" w:rsidP="00A90AF2">
      <w:pPr>
        <w:spacing w:after="0"/>
        <w:jc w:val="both"/>
        <w:rPr>
          <w:rFonts w:ascii="Arial" w:hAnsi="Arial" w:cs="Arial"/>
          <w:lang w:val="es-PR"/>
        </w:rPr>
      </w:pPr>
    </w:p>
    <w:p w14:paraId="192D9A2E" w14:textId="08713F95" w:rsidR="009E7D44" w:rsidRPr="00F97B18" w:rsidRDefault="00F97B18" w:rsidP="00402091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lang w:val="es-PR"/>
        </w:rPr>
      </w:pPr>
      <w:r>
        <w:rPr>
          <w:rFonts w:ascii="Arial" w:hAnsi="Arial" w:cs="Arial"/>
          <w:b/>
          <w:lang w:val="es-PR"/>
        </w:rPr>
        <w:t>N</w:t>
      </w:r>
      <w:r w:rsidR="007032A9" w:rsidRPr="00F97B18">
        <w:rPr>
          <w:rFonts w:ascii="Arial" w:hAnsi="Arial" w:cs="Arial"/>
          <w:b/>
          <w:lang w:val="es-PR"/>
        </w:rPr>
        <w:t xml:space="preserve">ueva </w:t>
      </w:r>
      <w:r w:rsidR="00823F49" w:rsidRPr="00F97B18">
        <w:rPr>
          <w:rFonts w:ascii="Arial" w:hAnsi="Arial" w:cs="Arial"/>
          <w:b/>
          <w:lang w:val="es-PR"/>
        </w:rPr>
        <w:t xml:space="preserve">Escuela Elemental Susana Rivera en el Barrio Llanos en </w:t>
      </w:r>
      <w:proofErr w:type="spellStart"/>
      <w:r w:rsidR="00823F49" w:rsidRPr="00F97B18">
        <w:rPr>
          <w:rFonts w:ascii="Arial" w:hAnsi="Arial" w:cs="Arial"/>
          <w:b/>
          <w:lang w:val="es-PR"/>
        </w:rPr>
        <w:t>Coamo</w:t>
      </w:r>
      <w:proofErr w:type="spellEnd"/>
      <w:r w:rsidR="006C736F" w:rsidRPr="00F97B18">
        <w:rPr>
          <w:rFonts w:ascii="Arial" w:hAnsi="Arial" w:cs="Arial"/>
          <w:lang w:val="es-PR"/>
        </w:rPr>
        <w:t xml:space="preserve"> </w:t>
      </w:r>
      <w:r w:rsidR="00E83DA9" w:rsidRPr="00F97B18">
        <w:rPr>
          <w:rFonts w:ascii="Arial" w:hAnsi="Arial" w:cs="Arial"/>
          <w:lang w:val="es-PR"/>
        </w:rPr>
        <w:t>–</w:t>
      </w:r>
      <w:r w:rsidR="00FE0C4B" w:rsidRPr="00F97B18">
        <w:rPr>
          <w:rFonts w:ascii="Arial" w:hAnsi="Arial" w:cs="Arial"/>
          <w:lang w:val="es-PR"/>
        </w:rPr>
        <w:t xml:space="preserve">.  </w:t>
      </w:r>
      <w:r w:rsidR="00E83DA9" w:rsidRPr="00F97B18">
        <w:rPr>
          <w:rFonts w:ascii="Arial" w:hAnsi="Arial" w:cs="Arial"/>
          <w:lang w:val="es-PR"/>
        </w:rPr>
        <w:t xml:space="preserve">Este </w:t>
      </w:r>
      <w:r w:rsidR="00E83DA9" w:rsidRPr="00F97B18">
        <w:rPr>
          <w:rFonts w:ascii="Arial" w:hAnsi="Arial" w:cs="Arial"/>
          <w:lang w:val="es-ES_tradnl"/>
        </w:rPr>
        <w:t>proyecto fue detenido durante la pasada administración</w:t>
      </w:r>
      <w:r>
        <w:rPr>
          <w:rFonts w:ascii="Arial" w:hAnsi="Arial" w:cs="Arial"/>
          <w:lang w:val="es-ES_tradnl"/>
        </w:rPr>
        <w:t xml:space="preserve">, sin embargo, </w:t>
      </w:r>
      <w:r w:rsidR="00E83DA9" w:rsidRPr="00F97B18">
        <w:rPr>
          <w:rFonts w:ascii="Arial" w:hAnsi="Arial" w:cs="Arial"/>
          <w:lang w:val="es-ES_tradnl"/>
        </w:rPr>
        <w:t>la AEP retomó</w:t>
      </w:r>
      <w:r w:rsidR="00FE0C4B" w:rsidRPr="00F97B18">
        <w:rPr>
          <w:rFonts w:ascii="Arial" w:hAnsi="Arial" w:cs="Arial"/>
          <w:lang w:val="es-ES_tradnl"/>
        </w:rPr>
        <w:t xml:space="preserve"> su construcción </w:t>
      </w:r>
      <w:r w:rsidR="00E83DA9" w:rsidRPr="00F97B18">
        <w:rPr>
          <w:rFonts w:ascii="Arial" w:hAnsi="Arial" w:cs="Arial"/>
          <w:lang w:val="es-ES_tradnl"/>
        </w:rPr>
        <w:t>a principios del</w:t>
      </w:r>
      <w:r w:rsidR="00823F49" w:rsidRPr="00F97B18">
        <w:rPr>
          <w:rFonts w:ascii="Arial" w:hAnsi="Arial" w:cs="Arial"/>
          <w:lang w:val="es-PR"/>
        </w:rPr>
        <w:t xml:space="preserve"> </w:t>
      </w:r>
      <w:r w:rsidR="00E83DA9" w:rsidRPr="00F97B18">
        <w:rPr>
          <w:rFonts w:ascii="Arial" w:hAnsi="Arial" w:cs="Arial"/>
          <w:lang w:val="es-PR"/>
        </w:rPr>
        <w:t>2014</w:t>
      </w:r>
      <w:r w:rsidR="00FE0C4B" w:rsidRPr="00F97B18">
        <w:rPr>
          <w:rFonts w:ascii="Arial" w:hAnsi="Arial" w:cs="Arial"/>
          <w:lang w:val="es-PR"/>
        </w:rPr>
        <w:t xml:space="preserve">. El mismo fue </w:t>
      </w:r>
      <w:r>
        <w:rPr>
          <w:rFonts w:ascii="Arial" w:hAnsi="Arial" w:cs="Arial"/>
          <w:lang w:val="es-PR"/>
        </w:rPr>
        <w:t xml:space="preserve">completado y </w:t>
      </w:r>
      <w:r w:rsidR="00FE0C4B" w:rsidRPr="00F97B18">
        <w:rPr>
          <w:rFonts w:ascii="Arial" w:hAnsi="Arial" w:cs="Arial"/>
          <w:lang w:val="es-PR"/>
        </w:rPr>
        <w:t>entregado</w:t>
      </w:r>
      <w:r w:rsidR="00E83DA9" w:rsidRPr="00F97B18">
        <w:rPr>
          <w:rFonts w:ascii="Arial" w:hAnsi="Arial" w:cs="Arial"/>
          <w:lang w:val="es-PR"/>
        </w:rPr>
        <w:t xml:space="preserve"> al Departamento de Educación en agosto 2016.  </w:t>
      </w:r>
      <w:r w:rsidR="00FE0C4B" w:rsidRPr="00F97B18">
        <w:rPr>
          <w:rFonts w:ascii="Arial" w:hAnsi="Arial" w:cs="Arial"/>
          <w:lang w:val="es-PR"/>
        </w:rPr>
        <w:t>La inversión total fue de</w:t>
      </w:r>
      <w:r w:rsidR="006D63AE" w:rsidRPr="00F97B18">
        <w:rPr>
          <w:rFonts w:ascii="Arial" w:hAnsi="Arial" w:cs="Arial"/>
          <w:lang w:val="es-PR"/>
        </w:rPr>
        <w:t xml:space="preserve"> $14.5 millones. </w:t>
      </w:r>
    </w:p>
    <w:p w14:paraId="51AA212C" w14:textId="00B1DCBC" w:rsidR="00567BDE" w:rsidRPr="00F97B18" w:rsidRDefault="00567BDE" w:rsidP="00402091">
      <w:pPr>
        <w:pStyle w:val="ListParagraph"/>
        <w:spacing w:after="0"/>
        <w:jc w:val="both"/>
        <w:rPr>
          <w:rFonts w:ascii="Arial" w:hAnsi="Arial" w:cs="Arial"/>
          <w:lang w:val="es-PR"/>
        </w:rPr>
      </w:pPr>
    </w:p>
    <w:p w14:paraId="5541659E" w14:textId="78BE84EC" w:rsidR="00113B0F" w:rsidRPr="00F97B18" w:rsidRDefault="0014616E" w:rsidP="00402091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lang w:val="es-PR"/>
        </w:rPr>
      </w:pPr>
      <w:r w:rsidRPr="00F97B18">
        <w:rPr>
          <w:rFonts w:ascii="Arial" w:hAnsi="Arial" w:cs="Arial"/>
          <w:b/>
          <w:lang w:val="es-PR"/>
        </w:rPr>
        <w:t>R</w:t>
      </w:r>
      <w:r w:rsidR="00C17579" w:rsidRPr="00F97B18">
        <w:rPr>
          <w:rFonts w:ascii="Arial" w:hAnsi="Arial" w:cs="Arial"/>
          <w:b/>
          <w:lang w:val="es-PR"/>
        </w:rPr>
        <w:t xml:space="preserve">emodelación de las facilidades existente de la Escuela de la Comunidad Especializada en Deportes </w:t>
      </w:r>
      <w:r w:rsidR="002767FD" w:rsidRPr="00F97B18">
        <w:rPr>
          <w:rFonts w:ascii="Arial" w:hAnsi="Arial" w:cs="Arial"/>
          <w:b/>
          <w:lang w:val="es-PR"/>
        </w:rPr>
        <w:t xml:space="preserve">del Albergue Olímpico </w:t>
      </w:r>
      <w:r w:rsidR="00C17579" w:rsidRPr="00F97B18">
        <w:rPr>
          <w:rFonts w:ascii="Arial" w:hAnsi="Arial" w:cs="Arial"/>
          <w:b/>
          <w:lang w:val="es-PR"/>
        </w:rPr>
        <w:t>(ECEDAO) Eugenio Guerra en Salinas</w:t>
      </w:r>
      <w:r w:rsidR="006C736F" w:rsidRPr="00F97B18">
        <w:rPr>
          <w:rFonts w:ascii="Arial" w:hAnsi="Arial" w:cs="Arial"/>
          <w:b/>
          <w:lang w:val="es-PR"/>
        </w:rPr>
        <w:t xml:space="preserve"> </w:t>
      </w:r>
      <w:r w:rsidR="00F97B18">
        <w:rPr>
          <w:rFonts w:ascii="Arial" w:hAnsi="Arial" w:cs="Arial"/>
          <w:b/>
          <w:lang w:val="es-PR"/>
        </w:rPr>
        <w:t>–</w:t>
      </w:r>
      <w:r w:rsidRPr="00F97B18">
        <w:rPr>
          <w:rFonts w:ascii="Arial" w:hAnsi="Arial" w:cs="Arial"/>
          <w:lang w:val="es-PR"/>
        </w:rPr>
        <w:t xml:space="preserve"> </w:t>
      </w:r>
      <w:r w:rsidR="00F97B18">
        <w:rPr>
          <w:rFonts w:ascii="Arial" w:hAnsi="Arial" w:cs="Arial"/>
          <w:lang w:val="es-PR"/>
        </w:rPr>
        <w:t>Remodelación de 12 baños, pintura exterior</w:t>
      </w:r>
      <w:r w:rsidR="00BE15EA">
        <w:rPr>
          <w:rFonts w:ascii="Arial" w:hAnsi="Arial" w:cs="Arial"/>
          <w:lang w:val="es-PR"/>
        </w:rPr>
        <w:t xml:space="preserve">, y mejoras a facilidades existentes, </w:t>
      </w:r>
      <w:r w:rsidRPr="00F97B18">
        <w:rPr>
          <w:rFonts w:ascii="Arial" w:hAnsi="Arial" w:cs="Arial"/>
          <w:lang w:val="es-PR"/>
        </w:rPr>
        <w:t>con una inversión casi $700 mil.  Los trabajos fueron completados en agosto de 2016.</w:t>
      </w:r>
    </w:p>
    <w:p w14:paraId="4DD3400D" w14:textId="77777777" w:rsidR="00A90AF2" w:rsidRPr="00F97B18" w:rsidRDefault="00A90AF2" w:rsidP="00A90AF2">
      <w:pPr>
        <w:spacing w:after="0"/>
        <w:jc w:val="both"/>
        <w:rPr>
          <w:rFonts w:ascii="Arial" w:hAnsi="Arial" w:cs="Arial"/>
          <w:lang w:val="es-PR"/>
        </w:rPr>
      </w:pPr>
    </w:p>
    <w:p w14:paraId="69BD9F6D" w14:textId="395CFF99" w:rsidR="0014616E" w:rsidRPr="00F97B18" w:rsidRDefault="006D63AE" w:rsidP="004C5745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lang w:val="es-PR"/>
        </w:rPr>
      </w:pPr>
      <w:r w:rsidRPr="00F97B18">
        <w:rPr>
          <w:rFonts w:ascii="Arial" w:hAnsi="Arial" w:cs="Arial"/>
          <w:b/>
          <w:lang w:val="es-PR"/>
        </w:rPr>
        <w:t>Nuevo Centro de G</w:t>
      </w:r>
      <w:r w:rsidR="006C736F" w:rsidRPr="00F97B18">
        <w:rPr>
          <w:rFonts w:ascii="Arial" w:hAnsi="Arial" w:cs="Arial"/>
          <w:b/>
          <w:lang w:val="es-PR"/>
        </w:rPr>
        <w:t>obierno de Aguada -</w:t>
      </w:r>
      <w:r w:rsidR="006C736F" w:rsidRPr="00F97B18">
        <w:rPr>
          <w:rFonts w:ascii="Arial" w:hAnsi="Arial" w:cs="Arial"/>
          <w:lang w:val="es-PR"/>
        </w:rPr>
        <w:t xml:space="preserve"> </w:t>
      </w:r>
      <w:r w:rsidR="0014616E" w:rsidRPr="00F97B18">
        <w:rPr>
          <w:rFonts w:ascii="Arial" w:hAnsi="Arial" w:cs="Arial"/>
          <w:lang w:val="es-PR"/>
        </w:rPr>
        <w:t xml:space="preserve">Se espera terminar la construcción en diciembre 2016, se invertirán $6.5 millones.  </w:t>
      </w:r>
      <w:r w:rsidR="00C070BD" w:rsidRPr="00F97B18">
        <w:rPr>
          <w:rFonts w:ascii="Arial" w:hAnsi="Arial" w:cs="Arial"/>
          <w:lang w:val="es-PR"/>
        </w:rPr>
        <w:t xml:space="preserve">El mismo se encuentra un </w:t>
      </w:r>
      <w:r w:rsidR="00D82121" w:rsidRPr="00F97B18">
        <w:rPr>
          <w:rFonts w:ascii="Arial" w:hAnsi="Arial" w:cs="Arial"/>
          <w:lang w:val="es-PR"/>
        </w:rPr>
        <w:t>70%</w:t>
      </w:r>
      <w:r w:rsidR="00C070BD" w:rsidRPr="00F97B18">
        <w:rPr>
          <w:rFonts w:ascii="Arial" w:hAnsi="Arial" w:cs="Arial"/>
          <w:lang w:val="es-PR"/>
        </w:rPr>
        <w:t xml:space="preserve"> terminado.</w:t>
      </w:r>
      <w:r w:rsidR="00D82121" w:rsidRPr="00F97B18">
        <w:rPr>
          <w:rFonts w:ascii="Arial" w:hAnsi="Arial" w:cs="Arial"/>
          <w:lang w:val="es-PR"/>
        </w:rPr>
        <w:t xml:space="preserve"> </w:t>
      </w:r>
    </w:p>
    <w:p w14:paraId="487A40DF" w14:textId="77777777" w:rsidR="00402091" w:rsidRPr="00F97B18" w:rsidRDefault="00402091" w:rsidP="00402091">
      <w:pPr>
        <w:pStyle w:val="ListParagraph"/>
        <w:spacing w:after="0"/>
        <w:jc w:val="both"/>
        <w:rPr>
          <w:rFonts w:ascii="Arial" w:hAnsi="Arial" w:cs="Arial"/>
          <w:lang w:val="es-PR"/>
        </w:rPr>
      </w:pPr>
    </w:p>
    <w:p w14:paraId="45F198FD" w14:textId="194CC4F0" w:rsidR="00C070BD" w:rsidRPr="00F97B18" w:rsidRDefault="006C736F" w:rsidP="00402091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lang w:val="es-PR"/>
        </w:rPr>
      </w:pPr>
      <w:r w:rsidRPr="00F97B18">
        <w:rPr>
          <w:rFonts w:ascii="Arial" w:hAnsi="Arial" w:cs="Arial"/>
          <w:b/>
          <w:lang w:val="es-PR"/>
        </w:rPr>
        <w:t>Hangar FURA -</w:t>
      </w:r>
      <w:r w:rsidRPr="00F97B18">
        <w:rPr>
          <w:rFonts w:ascii="Arial" w:hAnsi="Arial" w:cs="Arial"/>
          <w:lang w:val="es-PR"/>
        </w:rPr>
        <w:t xml:space="preserve"> </w:t>
      </w:r>
      <w:r w:rsidR="0033551D" w:rsidRPr="00F97B18">
        <w:rPr>
          <w:rFonts w:ascii="Arial" w:hAnsi="Arial" w:cs="Arial"/>
          <w:lang w:val="es-PR"/>
        </w:rPr>
        <w:t>Construcción de las nuevas facilidades de las Fuerzas Unidas de Rápida Acción (FURA) en el Aeropuerto Eugenio María de Hostos en Mayagüez a una inversión de aproximadamente $</w:t>
      </w:r>
      <w:r w:rsidR="006D63AE" w:rsidRPr="00F97B18">
        <w:rPr>
          <w:rFonts w:ascii="Arial" w:hAnsi="Arial" w:cs="Arial"/>
          <w:lang w:val="es-PR"/>
        </w:rPr>
        <w:t>500</w:t>
      </w:r>
      <w:r w:rsidR="0033551D" w:rsidRPr="00F97B18">
        <w:rPr>
          <w:rFonts w:ascii="Arial" w:hAnsi="Arial" w:cs="Arial"/>
          <w:lang w:val="es-PR"/>
        </w:rPr>
        <w:t xml:space="preserve"> mil.  El mismo será terminado en </w:t>
      </w:r>
      <w:r w:rsidR="00BE15EA">
        <w:rPr>
          <w:rFonts w:ascii="Arial" w:hAnsi="Arial" w:cs="Arial"/>
          <w:lang w:val="es-PR"/>
        </w:rPr>
        <w:t>diciembre</w:t>
      </w:r>
      <w:r w:rsidR="0033551D" w:rsidRPr="00F97B18">
        <w:rPr>
          <w:rFonts w:ascii="Arial" w:hAnsi="Arial" w:cs="Arial"/>
          <w:lang w:val="es-PR"/>
        </w:rPr>
        <w:t xml:space="preserve"> de 2016.</w:t>
      </w:r>
    </w:p>
    <w:p w14:paraId="72F78571" w14:textId="77777777" w:rsidR="00402091" w:rsidRPr="00F97B18" w:rsidRDefault="00402091" w:rsidP="00402091">
      <w:pPr>
        <w:pStyle w:val="ListParagraph"/>
        <w:spacing w:after="0"/>
        <w:jc w:val="both"/>
        <w:rPr>
          <w:rFonts w:ascii="Arial" w:hAnsi="Arial" w:cs="Arial"/>
          <w:lang w:val="es-PR"/>
        </w:rPr>
      </w:pPr>
    </w:p>
    <w:p w14:paraId="14416191" w14:textId="26330CEB" w:rsidR="00040020" w:rsidRPr="00F97B18" w:rsidRDefault="006C736F" w:rsidP="004C5745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lang w:val="es-PR"/>
        </w:rPr>
      </w:pPr>
      <w:r w:rsidRPr="00F97B18">
        <w:rPr>
          <w:rFonts w:ascii="Arial" w:hAnsi="Arial" w:cs="Arial"/>
          <w:b/>
          <w:lang w:val="es-PR"/>
        </w:rPr>
        <w:t>Programa de Verano -</w:t>
      </w:r>
      <w:r w:rsidRPr="00F97B18">
        <w:rPr>
          <w:rFonts w:ascii="Arial" w:hAnsi="Arial" w:cs="Arial"/>
          <w:lang w:val="es-PR"/>
        </w:rPr>
        <w:t xml:space="preserve"> </w:t>
      </w:r>
      <w:r w:rsidR="00A90AF2" w:rsidRPr="00F97B18">
        <w:rPr>
          <w:rFonts w:ascii="Arial" w:hAnsi="Arial" w:cs="Arial"/>
          <w:lang w:val="es-PR"/>
        </w:rPr>
        <w:t xml:space="preserve"> compromiso programático</w:t>
      </w:r>
      <w:r w:rsidR="00113B0F" w:rsidRPr="00F97B18">
        <w:rPr>
          <w:rFonts w:ascii="Arial" w:hAnsi="Arial" w:cs="Arial"/>
          <w:lang w:val="es-PR"/>
        </w:rPr>
        <w:t xml:space="preserve"> </w:t>
      </w:r>
      <w:r w:rsidR="00A90AF2" w:rsidRPr="00F97B18">
        <w:rPr>
          <w:rFonts w:ascii="Arial" w:hAnsi="Arial" w:cs="Arial"/>
          <w:lang w:val="es-PR"/>
        </w:rPr>
        <w:t>importante</w:t>
      </w:r>
      <w:r w:rsidR="00113B0F" w:rsidRPr="00F97B18">
        <w:rPr>
          <w:rFonts w:ascii="Arial" w:hAnsi="Arial" w:cs="Arial"/>
          <w:lang w:val="es-PR"/>
        </w:rPr>
        <w:t xml:space="preserve"> de </w:t>
      </w:r>
      <w:r w:rsidR="00113B0F" w:rsidRPr="00F97B18">
        <w:rPr>
          <w:rFonts w:ascii="Arial" w:hAnsi="Arial" w:cs="Arial"/>
          <w:i/>
          <w:lang w:val="es-PR"/>
        </w:rPr>
        <w:t>la Autoridad,</w:t>
      </w:r>
      <w:r w:rsidR="00113B0F" w:rsidRPr="00F97B18">
        <w:rPr>
          <w:rFonts w:ascii="Arial" w:hAnsi="Arial" w:cs="Arial"/>
          <w:lang w:val="es-PR"/>
        </w:rPr>
        <w:t xml:space="preserve"> en el cual se reacondicionan las escuelas de cara al inicio del año escolar, para garantizar una estructura operacional y funcional en beneficio de la educación de nuestros niños y niñas.  En el año 2012 se asignaron y gastaron $25 millones, de los cuales $19 millones fueron destinados a la contratación de compañías externas.  Mientras que en </w:t>
      </w:r>
      <w:r w:rsidR="007C3FFA" w:rsidRPr="00F97B18">
        <w:rPr>
          <w:rFonts w:ascii="Arial" w:hAnsi="Arial" w:cs="Arial"/>
          <w:lang w:val="es-PR"/>
        </w:rPr>
        <w:t xml:space="preserve">los </w:t>
      </w:r>
      <w:r w:rsidR="00113B0F" w:rsidRPr="00F97B18">
        <w:rPr>
          <w:rFonts w:ascii="Arial" w:hAnsi="Arial" w:cs="Arial"/>
          <w:lang w:val="es-PR"/>
        </w:rPr>
        <w:t>verano</w:t>
      </w:r>
      <w:r w:rsidR="007C3FFA" w:rsidRPr="00F97B18">
        <w:rPr>
          <w:rFonts w:ascii="Arial" w:hAnsi="Arial" w:cs="Arial"/>
          <w:lang w:val="es-PR"/>
        </w:rPr>
        <w:t>s</w:t>
      </w:r>
      <w:r w:rsidR="00113B0F" w:rsidRPr="00F97B18">
        <w:rPr>
          <w:rFonts w:ascii="Arial" w:hAnsi="Arial" w:cs="Arial"/>
          <w:lang w:val="es-PR"/>
        </w:rPr>
        <w:t xml:space="preserve"> del 2013 </w:t>
      </w:r>
      <w:r w:rsidR="007C3FFA" w:rsidRPr="00F97B18">
        <w:rPr>
          <w:rFonts w:ascii="Arial" w:hAnsi="Arial" w:cs="Arial"/>
          <w:lang w:val="es-PR"/>
        </w:rPr>
        <w:t xml:space="preserve">y 2014 </w:t>
      </w:r>
      <w:r w:rsidR="00113B0F" w:rsidRPr="00F97B18">
        <w:rPr>
          <w:rFonts w:ascii="Arial" w:hAnsi="Arial" w:cs="Arial"/>
          <w:lang w:val="es-PR"/>
        </w:rPr>
        <w:t>invertimos $10 millones en la referida actividad utilizando de primera instancia recursos internos y limitando la contratación externa</w:t>
      </w:r>
      <w:r w:rsidR="007C3FFA" w:rsidRPr="00F97B18">
        <w:rPr>
          <w:rFonts w:ascii="Arial" w:hAnsi="Arial" w:cs="Arial"/>
          <w:lang w:val="es-PR"/>
        </w:rPr>
        <w:t xml:space="preserve">. </w:t>
      </w:r>
      <w:r w:rsidR="00AC73CB" w:rsidRPr="00F97B18">
        <w:rPr>
          <w:rFonts w:ascii="Arial" w:hAnsi="Arial" w:cs="Arial"/>
          <w:lang w:val="es-PR"/>
        </w:rPr>
        <w:t xml:space="preserve"> En el 2015 </w:t>
      </w:r>
      <w:r w:rsidR="007C3FFA" w:rsidRPr="00F97B18">
        <w:rPr>
          <w:rFonts w:ascii="Arial" w:hAnsi="Arial" w:cs="Arial"/>
          <w:lang w:val="es-PR"/>
        </w:rPr>
        <w:t>se invirtieron $700 mil, mientras que en el</w:t>
      </w:r>
      <w:r w:rsidR="00AC73CB" w:rsidRPr="00F97B18">
        <w:rPr>
          <w:rFonts w:ascii="Arial" w:hAnsi="Arial" w:cs="Arial"/>
          <w:lang w:val="es-PR"/>
        </w:rPr>
        <w:t xml:space="preserve"> 2016 </w:t>
      </w:r>
      <w:r w:rsidR="007C3FFA" w:rsidRPr="00F97B18">
        <w:rPr>
          <w:rFonts w:ascii="Arial" w:hAnsi="Arial" w:cs="Arial"/>
          <w:lang w:val="es-PR"/>
        </w:rPr>
        <w:t>la inver</w:t>
      </w:r>
      <w:r w:rsidR="00B116D8" w:rsidRPr="00F97B18">
        <w:rPr>
          <w:rFonts w:ascii="Arial" w:hAnsi="Arial" w:cs="Arial"/>
          <w:lang w:val="es-PR"/>
        </w:rPr>
        <w:t>sión fue de aproximadamente $1.4</w:t>
      </w:r>
      <w:r w:rsidR="007C3FFA" w:rsidRPr="00F97B18">
        <w:rPr>
          <w:rFonts w:ascii="Arial" w:hAnsi="Arial" w:cs="Arial"/>
          <w:lang w:val="es-PR"/>
        </w:rPr>
        <w:t xml:space="preserve"> millones del fondo operacional.</w:t>
      </w:r>
    </w:p>
    <w:p w14:paraId="61B052A5" w14:textId="77777777" w:rsidR="00110C54" w:rsidRPr="00F97B18" w:rsidRDefault="00110C54" w:rsidP="00110C54">
      <w:pPr>
        <w:spacing w:after="0"/>
        <w:jc w:val="both"/>
        <w:rPr>
          <w:rFonts w:ascii="Arial" w:hAnsi="Arial" w:cs="Arial"/>
          <w:lang w:val="es-PR"/>
        </w:rPr>
      </w:pPr>
    </w:p>
    <w:p w14:paraId="13B1DF69" w14:textId="3AD693CC" w:rsidR="00AC73CB" w:rsidRPr="00F97B18" w:rsidRDefault="00377A54" w:rsidP="00402091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b/>
          <w:lang w:val="es-PR"/>
        </w:rPr>
      </w:pPr>
      <w:r w:rsidRPr="00F97B18">
        <w:rPr>
          <w:rFonts w:ascii="Arial" w:eastAsia="Times New Roman" w:hAnsi="Arial" w:cs="Arial"/>
          <w:b/>
          <w:lang w:val="es-PR"/>
        </w:rPr>
        <w:t>Programa de Pintura de Edificios 2013</w:t>
      </w:r>
      <w:r w:rsidR="00AC73CB" w:rsidRPr="00F97B18">
        <w:rPr>
          <w:rFonts w:ascii="Arial" w:eastAsia="Times New Roman" w:hAnsi="Arial" w:cs="Arial"/>
          <w:b/>
          <w:lang w:val="es-PR"/>
        </w:rPr>
        <w:t xml:space="preserve"> -</w:t>
      </w:r>
      <w:r w:rsidR="00A90AF2" w:rsidRPr="00F97B18">
        <w:rPr>
          <w:rFonts w:ascii="Arial" w:eastAsia="Times New Roman" w:hAnsi="Arial" w:cs="Arial"/>
          <w:b/>
          <w:lang w:val="es-PR"/>
        </w:rPr>
        <w:t xml:space="preserve"> </w:t>
      </w:r>
      <w:r w:rsidRPr="00F97B18">
        <w:rPr>
          <w:rFonts w:ascii="Arial" w:eastAsia="Times New Roman" w:hAnsi="Arial" w:cs="Arial"/>
          <w:lang w:val="es-PR"/>
        </w:rPr>
        <w:t xml:space="preserve">Se realizaron labores de </w:t>
      </w:r>
      <w:r w:rsidR="00B116D8" w:rsidRPr="00F97B18">
        <w:rPr>
          <w:rFonts w:ascii="Arial" w:eastAsia="Times New Roman" w:hAnsi="Arial" w:cs="Arial"/>
          <w:lang w:val="es-PR"/>
        </w:rPr>
        <w:t>pintura y mejoras</w:t>
      </w:r>
      <w:r w:rsidRPr="00F97B18">
        <w:rPr>
          <w:rFonts w:ascii="Arial" w:eastAsia="Times New Roman" w:hAnsi="Arial" w:cs="Arial"/>
          <w:lang w:val="es-PR"/>
        </w:rPr>
        <w:t xml:space="preserve"> </w:t>
      </w:r>
      <w:r w:rsidR="008542FF" w:rsidRPr="00F97B18">
        <w:rPr>
          <w:rFonts w:ascii="Arial" w:eastAsia="Times New Roman" w:hAnsi="Arial" w:cs="Arial"/>
          <w:lang w:val="es-PR"/>
        </w:rPr>
        <w:t xml:space="preserve">en </w:t>
      </w:r>
      <w:r w:rsidRPr="00F97B18">
        <w:rPr>
          <w:rFonts w:ascii="Arial" w:eastAsia="Times New Roman" w:hAnsi="Arial" w:cs="Arial"/>
          <w:lang w:val="es-PR"/>
        </w:rPr>
        <w:t xml:space="preserve">166 estructuras de </w:t>
      </w:r>
      <w:r w:rsidRPr="00F97B18">
        <w:rPr>
          <w:rFonts w:ascii="Arial" w:eastAsia="Times New Roman" w:hAnsi="Arial" w:cs="Arial"/>
          <w:i/>
          <w:lang w:val="es-PR"/>
        </w:rPr>
        <w:t>la Autoridad</w:t>
      </w:r>
      <w:r w:rsidRPr="00F97B18">
        <w:rPr>
          <w:rFonts w:ascii="Arial" w:eastAsia="Times New Roman" w:hAnsi="Arial" w:cs="Arial"/>
          <w:lang w:val="es-PR"/>
        </w:rPr>
        <w:t xml:space="preserve">. </w:t>
      </w:r>
      <w:r w:rsidR="00600D8E" w:rsidRPr="00F97B18">
        <w:rPr>
          <w:rFonts w:ascii="Arial" w:eastAsia="Times New Roman" w:hAnsi="Arial" w:cs="Arial"/>
          <w:lang w:val="es-PR"/>
        </w:rPr>
        <w:t xml:space="preserve"> </w:t>
      </w:r>
      <w:r w:rsidRPr="00F97B18">
        <w:rPr>
          <w:rFonts w:ascii="Arial" w:eastAsia="Times New Roman" w:hAnsi="Arial" w:cs="Arial"/>
          <w:lang w:val="es-PR"/>
        </w:rPr>
        <w:t xml:space="preserve">La inversión estimada para este programa </w:t>
      </w:r>
      <w:r w:rsidR="007C3FFA" w:rsidRPr="00F97B18">
        <w:rPr>
          <w:rFonts w:ascii="Arial" w:eastAsia="Times New Roman" w:hAnsi="Arial" w:cs="Arial"/>
          <w:lang w:val="es-PR"/>
        </w:rPr>
        <w:t xml:space="preserve">fue </w:t>
      </w:r>
      <w:r w:rsidR="00AC73CB" w:rsidRPr="00F97B18">
        <w:rPr>
          <w:rFonts w:ascii="Arial" w:eastAsia="Times New Roman" w:hAnsi="Arial" w:cs="Arial"/>
          <w:lang w:val="es-PR"/>
        </w:rPr>
        <w:t xml:space="preserve">de </w:t>
      </w:r>
      <w:r w:rsidR="00AC73CB" w:rsidRPr="00F97B18">
        <w:rPr>
          <w:rFonts w:ascii="Arial" w:eastAsia="Times New Roman" w:hAnsi="Arial" w:cs="Arial"/>
          <w:b/>
          <w:lang w:val="es-PR"/>
        </w:rPr>
        <w:t xml:space="preserve">$2.9 millones </w:t>
      </w:r>
      <w:r w:rsidR="00AC73CB" w:rsidRPr="00F97B18">
        <w:rPr>
          <w:rFonts w:ascii="Arial" w:eastAsia="Times New Roman" w:hAnsi="Arial" w:cs="Arial"/>
          <w:lang w:val="es-PR"/>
        </w:rPr>
        <w:t xml:space="preserve">del fondo operacional de </w:t>
      </w:r>
      <w:r w:rsidR="00AC73CB" w:rsidRPr="00F97B18">
        <w:rPr>
          <w:rFonts w:ascii="Arial" w:eastAsia="Times New Roman" w:hAnsi="Arial" w:cs="Arial"/>
          <w:i/>
          <w:lang w:val="es-PR"/>
        </w:rPr>
        <w:t>la Autoridad</w:t>
      </w:r>
      <w:r w:rsidR="00AC73CB" w:rsidRPr="00F97B18">
        <w:rPr>
          <w:rFonts w:ascii="Arial" w:eastAsia="Times New Roman" w:hAnsi="Arial" w:cs="Arial"/>
          <w:b/>
          <w:lang w:val="es-PR"/>
        </w:rPr>
        <w:t>.</w:t>
      </w:r>
    </w:p>
    <w:p w14:paraId="3E4CF038" w14:textId="77777777" w:rsidR="00402091" w:rsidRPr="00F97B18" w:rsidRDefault="00402091" w:rsidP="00402091">
      <w:pPr>
        <w:pStyle w:val="ListParagraph"/>
        <w:spacing w:after="0"/>
        <w:jc w:val="both"/>
        <w:rPr>
          <w:rFonts w:ascii="Arial" w:eastAsia="Times New Roman" w:hAnsi="Arial" w:cs="Arial"/>
          <w:b/>
          <w:lang w:val="es-PR"/>
        </w:rPr>
      </w:pPr>
    </w:p>
    <w:p w14:paraId="567AFC28" w14:textId="4ACFDC54" w:rsidR="00AC73CB" w:rsidRPr="00F97B18" w:rsidRDefault="00377A54" w:rsidP="00402091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b/>
          <w:lang w:val="es-PR"/>
        </w:rPr>
      </w:pPr>
      <w:r w:rsidRPr="00F97B18">
        <w:rPr>
          <w:rFonts w:ascii="Arial" w:eastAsia="Times New Roman" w:hAnsi="Arial" w:cs="Arial"/>
          <w:b/>
          <w:lang w:val="es-PR"/>
        </w:rPr>
        <w:t>Remodelació</w:t>
      </w:r>
      <w:r w:rsidR="008542FF" w:rsidRPr="00F97B18">
        <w:rPr>
          <w:rFonts w:ascii="Arial" w:eastAsia="Times New Roman" w:hAnsi="Arial" w:cs="Arial"/>
          <w:b/>
          <w:lang w:val="es-PR"/>
        </w:rPr>
        <w:t>n de la Torre Norte del Centro G</w:t>
      </w:r>
      <w:r w:rsidRPr="00F97B18">
        <w:rPr>
          <w:rFonts w:ascii="Arial" w:eastAsia="Times New Roman" w:hAnsi="Arial" w:cs="Arial"/>
          <w:b/>
          <w:lang w:val="es-PR"/>
        </w:rPr>
        <w:t xml:space="preserve">ubernamental Roberto Sánchez </w:t>
      </w:r>
      <w:proofErr w:type="spellStart"/>
      <w:r w:rsidRPr="00F97B18">
        <w:rPr>
          <w:rFonts w:ascii="Arial" w:eastAsia="Times New Roman" w:hAnsi="Arial" w:cs="Arial"/>
          <w:b/>
          <w:lang w:val="es-PR"/>
        </w:rPr>
        <w:t>Vilella</w:t>
      </w:r>
      <w:proofErr w:type="spellEnd"/>
      <w:r w:rsidR="00A97C65" w:rsidRPr="00F97B18">
        <w:rPr>
          <w:rFonts w:ascii="Arial" w:eastAsia="Times New Roman" w:hAnsi="Arial" w:cs="Arial"/>
          <w:b/>
          <w:lang w:val="es-PR"/>
        </w:rPr>
        <w:t xml:space="preserve"> - </w:t>
      </w:r>
      <w:r w:rsidRPr="00F97B18">
        <w:rPr>
          <w:rFonts w:ascii="Arial" w:eastAsia="Times New Roman" w:hAnsi="Arial" w:cs="Arial"/>
          <w:lang w:val="es-PR"/>
        </w:rPr>
        <w:t xml:space="preserve">Se remodelaron varios niveles de la Torre Norte de Minillas, cuyos espacios albergan las oficinas de la Junta de Planificación (JP), </w:t>
      </w:r>
      <w:r w:rsidR="00E72493" w:rsidRPr="00F97B18">
        <w:rPr>
          <w:rFonts w:ascii="Arial" w:eastAsia="Times New Roman" w:hAnsi="Arial" w:cs="Arial"/>
          <w:lang w:val="es-PR"/>
        </w:rPr>
        <w:t>l</w:t>
      </w:r>
      <w:r w:rsidRPr="00F97B18">
        <w:rPr>
          <w:rFonts w:ascii="Arial" w:eastAsia="Times New Roman" w:hAnsi="Arial" w:cs="Arial"/>
          <w:lang w:val="es-PR"/>
        </w:rPr>
        <w:t>a Oficina de Gerencia de Permiso (OGPE)</w:t>
      </w:r>
      <w:r w:rsidR="00E72493" w:rsidRPr="00F97B18">
        <w:rPr>
          <w:rFonts w:ascii="Arial" w:eastAsia="Times New Roman" w:hAnsi="Arial" w:cs="Arial"/>
          <w:lang w:val="es-PR"/>
        </w:rPr>
        <w:t xml:space="preserve">, </w:t>
      </w:r>
      <w:r w:rsidR="008542FF" w:rsidRPr="00F97B18">
        <w:rPr>
          <w:rFonts w:ascii="Arial" w:eastAsia="Times New Roman" w:hAnsi="Arial" w:cs="Arial"/>
          <w:lang w:val="es-PR"/>
        </w:rPr>
        <w:t xml:space="preserve">las oficinas administrativas de </w:t>
      </w:r>
      <w:r w:rsidR="008542FF" w:rsidRPr="00F97B18">
        <w:rPr>
          <w:rFonts w:ascii="Arial" w:eastAsia="Times New Roman" w:hAnsi="Arial" w:cs="Arial"/>
          <w:i/>
          <w:lang w:val="es-PR"/>
        </w:rPr>
        <w:t>la Autoridad</w:t>
      </w:r>
      <w:r w:rsidR="008542FF" w:rsidRPr="00F97B18">
        <w:rPr>
          <w:rFonts w:ascii="Arial" w:eastAsia="Times New Roman" w:hAnsi="Arial" w:cs="Arial"/>
          <w:lang w:val="es-PR"/>
        </w:rPr>
        <w:t xml:space="preserve">, y la Oficina de Pasaportes de San Juan, </w:t>
      </w:r>
      <w:r w:rsidR="00E72493" w:rsidRPr="00F97B18">
        <w:rPr>
          <w:rFonts w:ascii="Arial" w:eastAsia="Times New Roman" w:hAnsi="Arial" w:cs="Arial"/>
          <w:lang w:val="es-PR"/>
        </w:rPr>
        <w:t>entre otros</w:t>
      </w:r>
      <w:r w:rsidR="008542FF" w:rsidRPr="00F97B18">
        <w:rPr>
          <w:rFonts w:ascii="Arial" w:eastAsia="Times New Roman" w:hAnsi="Arial" w:cs="Arial"/>
          <w:lang w:val="es-PR"/>
        </w:rPr>
        <w:t>.</w:t>
      </w:r>
      <w:r w:rsidR="00621DF4" w:rsidRPr="00F97B18">
        <w:rPr>
          <w:rFonts w:ascii="Arial" w:eastAsia="Times New Roman" w:hAnsi="Arial" w:cs="Arial"/>
          <w:lang w:val="es-PR"/>
        </w:rPr>
        <w:t xml:space="preserve">  La inversión fue de $</w:t>
      </w:r>
      <w:r w:rsidR="00A0125A" w:rsidRPr="00F97B18">
        <w:rPr>
          <w:rFonts w:ascii="Arial" w:eastAsia="Times New Roman" w:hAnsi="Arial" w:cs="Arial"/>
          <w:lang w:val="es-PR"/>
        </w:rPr>
        <w:t>18.6</w:t>
      </w:r>
      <w:r w:rsidR="00621DF4" w:rsidRPr="00F97B18">
        <w:rPr>
          <w:rFonts w:ascii="Arial" w:eastAsia="Times New Roman" w:hAnsi="Arial" w:cs="Arial"/>
          <w:lang w:val="es-PR"/>
        </w:rPr>
        <w:t xml:space="preserve"> millones.</w:t>
      </w:r>
    </w:p>
    <w:p w14:paraId="2EEC9A6E" w14:textId="77777777" w:rsidR="00402091" w:rsidRPr="00F97B18" w:rsidRDefault="00402091" w:rsidP="00402091">
      <w:pPr>
        <w:pStyle w:val="ListParagraph"/>
        <w:spacing w:after="0"/>
        <w:jc w:val="both"/>
        <w:rPr>
          <w:rFonts w:ascii="Arial" w:eastAsia="Times New Roman" w:hAnsi="Arial" w:cs="Arial"/>
          <w:b/>
          <w:lang w:val="es-PR"/>
        </w:rPr>
      </w:pPr>
    </w:p>
    <w:p w14:paraId="41558E6D" w14:textId="7EAA67A7" w:rsidR="00621DF4" w:rsidRPr="00F97B18" w:rsidRDefault="00621DF4" w:rsidP="00402091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b/>
          <w:lang w:val="es-PR"/>
        </w:rPr>
      </w:pPr>
      <w:r w:rsidRPr="00F97B18">
        <w:rPr>
          <w:rFonts w:ascii="Arial" w:eastAsia="Times New Roman" w:hAnsi="Arial" w:cs="Arial"/>
          <w:b/>
          <w:lang w:val="es-PR"/>
        </w:rPr>
        <w:t>Mejoras a la Superintendencia de la Policía</w:t>
      </w:r>
      <w:r w:rsidR="00A97C65" w:rsidRPr="00F97B18">
        <w:rPr>
          <w:rFonts w:ascii="Arial" w:eastAsia="Times New Roman" w:hAnsi="Arial" w:cs="Arial"/>
          <w:b/>
          <w:lang w:val="es-PR"/>
        </w:rPr>
        <w:t xml:space="preserve"> </w:t>
      </w:r>
      <w:r w:rsidR="00E72493" w:rsidRPr="00F97B18">
        <w:rPr>
          <w:rFonts w:ascii="Arial" w:eastAsia="Times New Roman" w:hAnsi="Arial" w:cs="Arial"/>
          <w:b/>
          <w:lang w:val="es-PR"/>
        </w:rPr>
        <w:t>–</w:t>
      </w:r>
      <w:r w:rsidR="00A97C65" w:rsidRPr="00F97B18">
        <w:rPr>
          <w:rFonts w:ascii="Arial" w:eastAsia="Times New Roman" w:hAnsi="Arial" w:cs="Arial"/>
          <w:b/>
          <w:lang w:val="es-PR"/>
        </w:rPr>
        <w:t xml:space="preserve"> </w:t>
      </w:r>
      <w:r w:rsidRPr="00F97B18">
        <w:rPr>
          <w:rFonts w:ascii="Arial" w:eastAsia="Times New Roman" w:hAnsi="Arial" w:cs="Arial"/>
          <w:lang w:val="es-PR"/>
        </w:rPr>
        <w:t>Entre</w:t>
      </w:r>
      <w:r w:rsidR="00E72493" w:rsidRPr="00F97B18">
        <w:rPr>
          <w:rFonts w:ascii="Arial" w:eastAsia="Times New Roman" w:hAnsi="Arial" w:cs="Arial"/>
          <w:lang w:val="es-PR"/>
        </w:rPr>
        <w:t xml:space="preserve"> las</w:t>
      </w:r>
      <w:r w:rsidRPr="00F97B18">
        <w:rPr>
          <w:rFonts w:ascii="Arial" w:eastAsia="Times New Roman" w:hAnsi="Arial" w:cs="Arial"/>
          <w:lang w:val="es-PR"/>
        </w:rPr>
        <w:t xml:space="preserve"> mejoras realizadas en la Superintendencia de la Policía se encuentran la rehabilitación del Helipu</w:t>
      </w:r>
      <w:r w:rsidR="00A0125A" w:rsidRPr="00F97B18">
        <w:rPr>
          <w:rFonts w:ascii="Arial" w:eastAsia="Times New Roman" w:hAnsi="Arial" w:cs="Arial"/>
          <w:lang w:val="es-PR"/>
        </w:rPr>
        <w:t>erto, pintura de la estructura,</w:t>
      </w:r>
      <w:r w:rsidRPr="00F97B18">
        <w:rPr>
          <w:rFonts w:ascii="Arial" w:eastAsia="Times New Roman" w:hAnsi="Arial" w:cs="Arial"/>
          <w:lang w:val="es-PR"/>
        </w:rPr>
        <w:t xml:space="preserve"> </w:t>
      </w:r>
      <w:r w:rsidR="00BE15EA">
        <w:rPr>
          <w:rFonts w:ascii="Arial" w:eastAsia="Times New Roman" w:hAnsi="Arial" w:cs="Arial"/>
          <w:lang w:val="es-PR"/>
        </w:rPr>
        <w:t>reemplazo de equipos de A/C</w:t>
      </w:r>
      <w:r w:rsidRPr="00F97B18">
        <w:rPr>
          <w:rFonts w:ascii="Arial" w:eastAsia="Times New Roman" w:hAnsi="Arial" w:cs="Arial"/>
          <w:lang w:val="es-PR"/>
        </w:rPr>
        <w:t>, entre otras.  Se invirtieron $250,100.</w:t>
      </w:r>
    </w:p>
    <w:p w14:paraId="5AE1A647" w14:textId="77777777" w:rsidR="00BD4A95" w:rsidRDefault="00BD4A95" w:rsidP="000D3172">
      <w:pPr>
        <w:spacing w:after="0"/>
        <w:contextualSpacing/>
        <w:jc w:val="both"/>
        <w:rPr>
          <w:rFonts w:ascii="Arial" w:hAnsi="Arial" w:cs="Arial"/>
          <w:sz w:val="24"/>
          <w:szCs w:val="24"/>
          <w:lang w:val="es-PR"/>
        </w:rPr>
      </w:pPr>
    </w:p>
    <w:p w14:paraId="0C00BDFC" w14:textId="173CF360" w:rsidR="00BD4A95" w:rsidRDefault="00BD4A95" w:rsidP="000D3172">
      <w:pPr>
        <w:spacing w:after="0"/>
        <w:contextualSpacing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En síntesis, la administración de La Autoridad de Edificios Públicos ha enfrentado un escenario fiscal complejo, retándonos a trabajar con prácticas dinámicas</w:t>
      </w:r>
      <w:r w:rsidR="0086344F">
        <w:rPr>
          <w:rFonts w:ascii="Arial" w:hAnsi="Arial" w:cs="Arial"/>
          <w:sz w:val="24"/>
          <w:szCs w:val="24"/>
          <w:lang w:val="es-PR"/>
        </w:rPr>
        <w:t xml:space="preserve">, a </w:t>
      </w:r>
      <w:r>
        <w:rPr>
          <w:rFonts w:ascii="Arial" w:hAnsi="Arial" w:cs="Arial"/>
          <w:sz w:val="24"/>
          <w:szCs w:val="24"/>
          <w:lang w:val="es-PR"/>
        </w:rPr>
        <w:t xml:space="preserve">fin de obtener resultados que permitan continuar </w:t>
      </w:r>
      <w:r w:rsidR="00BB0700">
        <w:rPr>
          <w:rFonts w:ascii="Arial" w:hAnsi="Arial" w:cs="Arial"/>
          <w:sz w:val="24"/>
          <w:szCs w:val="24"/>
          <w:lang w:val="es-PR"/>
        </w:rPr>
        <w:t xml:space="preserve">con </w:t>
      </w:r>
      <w:r w:rsidR="0086344F">
        <w:rPr>
          <w:rFonts w:ascii="Arial" w:hAnsi="Arial" w:cs="Arial"/>
          <w:sz w:val="24"/>
          <w:szCs w:val="24"/>
          <w:lang w:val="es-PR"/>
        </w:rPr>
        <w:t>la</w:t>
      </w:r>
      <w:r>
        <w:rPr>
          <w:rFonts w:ascii="Arial" w:hAnsi="Arial" w:cs="Arial"/>
          <w:sz w:val="24"/>
          <w:szCs w:val="24"/>
          <w:lang w:val="es-PR"/>
        </w:rPr>
        <w:t xml:space="preserve"> operación</w:t>
      </w:r>
      <w:r w:rsidR="0086344F">
        <w:rPr>
          <w:rFonts w:ascii="Arial" w:hAnsi="Arial" w:cs="Arial"/>
          <w:sz w:val="24"/>
          <w:szCs w:val="24"/>
          <w:lang w:val="es-PR"/>
        </w:rPr>
        <w:t xml:space="preserve"> de la misma en beneficio del pueblo de Puerto Rico.</w:t>
      </w:r>
    </w:p>
    <w:p w14:paraId="77D0B954" w14:textId="77777777" w:rsidR="00BD4A95" w:rsidRDefault="00BD4A95" w:rsidP="000D3172">
      <w:pPr>
        <w:spacing w:after="0"/>
        <w:contextualSpacing/>
        <w:jc w:val="both"/>
        <w:rPr>
          <w:rFonts w:ascii="Arial" w:hAnsi="Arial" w:cs="Arial"/>
          <w:sz w:val="24"/>
          <w:szCs w:val="24"/>
          <w:lang w:val="es-PR"/>
        </w:rPr>
      </w:pPr>
    </w:p>
    <w:p w14:paraId="46C7F4A6" w14:textId="0371226E" w:rsidR="00661479" w:rsidRDefault="00BD4A95" w:rsidP="000D3172">
      <w:pPr>
        <w:spacing w:after="0"/>
        <w:contextualSpacing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Atentamente,</w:t>
      </w:r>
    </w:p>
    <w:p w14:paraId="1D9970A1" w14:textId="77777777" w:rsidR="00BD4A95" w:rsidRDefault="00BD4A95" w:rsidP="000D3172">
      <w:pPr>
        <w:spacing w:after="0"/>
        <w:contextualSpacing/>
        <w:jc w:val="both"/>
        <w:rPr>
          <w:rFonts w:ascii="Arial" w:hAnsi="Arial" w:cs="Arial"/>
          <w:sz w:val="24"/>
          <w:szCs w:val="24"/>
          <w:lang w:val="es-PR"/>
        </w:rPr>
      </w:pPr>
    </w:p>
    <w:p w14:paraId="06EA7941" w14:textId="77777777" w:rsidR="00BD4A95" w:rsidRDefault="00BD4A95" w:rsidP="000D3172">
      <w:pPr>
        <w:spacing w:after="0"/>
        <w:contextualSpacing/>
        <w:jc w:val="both"/>
        <w:rPr>
          <w:rFonts w:ascii="Arial" w:hAnsi="Arial" w:cs="Arial"/>
          <w:sz w:val="24"/>
          <w:szCs w:val="24"/>
          <w:lang w:val="es-PR"/>
        </w:rPr>
      </w:pPr>
    </w:p>
    <w:p w14:paraId="6C3A5710" w14:textId="297C5BB6" w:rsidR="00BD4A95" w:rsidRDefault="00BD4A95" w:rsidP="000D3172">
      <w:pPr>
        <w:spacing w:after="0"/>
        <w:contextualSpacing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Ing. José L. D</w:t>
      </w:r>
      <w:r w:rsidR="00BB0700">
        <w:rPr>
          <w:rFonts w:ascii="Arial" w:hAnsi="Arial" w:cs="Arial"/>
          <w:sz w:val="24"/>
          <w:szCs w:val="24"/>
          <w:lang w:val="es-PR"/>
        </w:rPr>
        <w:t>ávila E</w:t>
      </w:r>
      <w:r>
        <w:rPr>
          <w:rFonts w:ascii="Arial" w:hAnsi="Arial" w:cs="Arial"/>
          <w:sz w:val="24"/>
          <w:szCs w:val="24"/>
          <w:lang w:val="es-PR"/>
        </w:rPr>
        <w:t>strada</w:t>
      </w:r>
    </w:p>
    <w:p w14:paraId="76C4D154" w14:textId="3A961DBC" w:rsidR="00BD4A95" w:rsidRDefault="00BD4A95" w:rsidP="000D3172">
      <w:pPr>
        <w:spacing w:after="0"/>
        <w:contextualSpacing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Director Ejecutivo</w:t>
      </w:r>
    </w:p>
    <w:p w14:paraId="18516CCA" w14:textId="647AB89B" w:rsidR="0086344F" w:rsidRPr="0086344F" w:rsidRDefault="0086344F" w:rsidP="000D3172">
      <w:pPr>
        <w:spacing w:after="0"/>
        <w:contextualSpacing/>
        <w:jc w:val="both"/>
        <w:rPr>
          <w:rFonts w:ascii="Arial" w:hAnsi="Arial" w:cs="Arial"/>
          <w:sz w:val="16"/>
          <w:szCs w:val="16"/>
          <w:lang w:val="es-PR"/>
        </w:rPr>
      </w:pPr>
      <w:bookmarkStart w:id="5" w:name="_GoBack"/>
      <w:bookmarkEnd w:id="5"/>
    </w:p>
    <w:sectPr w:rsidR="0086344F" w:rsidRPr="0086344F" w:rsidSect="00F334C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1345A" w14:textId="77777777" w:rsidR="0030418E" w:rsidRDefault="0030418E" w:rsidP="002F4B65">
      <w:pPr>
        <w:spacing w:after="0"/>
      </w:pPr>
      <w:r>
        <w:separator/>
      </w:r>
    </w:p>
  </w:endnote>
  <w:endnote w:type="continuationSeparator" w:id="0">
    <w:p w14:paraId="631271A6" w14:textId="77777777" w:rsidR="0030418E" w:rsidRDefault="0030418E" w:rsidP="002F4B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17109" w14:textId="3D8A0F7B" w:rsidR="00643962" w:rsidRPr="00643962" w:rsidRDefault="00643962" w:rsidP="00643962">
    <w:pPr>
      <w:pStyle w:val="Footer"/>
      <w:jc w:val="center"/>
      <w:rPr>
        <w:rFonts w:ascii="Arial" w:hAnsi="Arial" w:cs="Arial"/>
        <w:sz w:val="18"/>
        <w:szCs w:val="18"/>
      </w:rPr>
    </w:pPr>
    <w:r w:rsidRPr="00643962">
      <w:rPr>
        <w:rFonts w:ascii="Arial" w:hAnsi="Arial" w:cs="Arial"/>
        <w:sz w:val="18"/>
        <w:szCs w:val="18"/>
      </w:rPr>
      <w:t xml:space="preserve">14 de </w:t>
    </w:r>
    <w:proofErr w:type="spellStart"/>
    <w:r w:rsidRPr="00643962">
      <w:rPr>
        <w:rFonts w:ascii="Arial" w:hAnsi="Arial" w:cs="Arial"/>
        <w:sz w:val="18"/>
        <w:szCs w:val="18"/>
      </w:rPr>
      <w:t>octubre</w:t>
    </w:r>
    <w:proofErr w:type="spellEnd"/>
    <w:r w:rsidRPr="00643962">
      <w:rPr>
        <w:rFonts w:ascii="Arial" w:hAnsi="Arial" w:cs="Arial"/>
        <w:sz w:val="18"/>
        <w:szCs w:val="18"/>
      </w:rPr>
      <w:t xml:space="preserve"> de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D9D88" w14:textId="65A40B37" w:rsidR="00643962" w:rsidRPr="00643962" w:rsidRDefault="00643962" w:rsidP="00643962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14 </w:t>
    </w:r>
    <w:r w:rsidRPr="00643962">
      <w:rPr>
        <w:rFonts w:ascii="Arial" w:hAnsi="Arial" w:cs="Arial"/>
        <w:sz w:val="16"/>
        <w:szCs w:val="16"/>
      </w:rPr>
      <w:t xml:space="preserve">de </w:t>
    </w:r>
    <w:proofErr w:type="spellStart"/>
    <w:r w:rsidRPr="00643962">
      <w:rPr>
        <w:rFonts w:ascii="Arial" w:hAnsi="Arial" w:cs="Arial"/>
        <w:sz w:val="16"/>
        <w:szCs w:val="16"/>
      </w:rPr>
      <w:t>octubre</w:t>
    </w:r>
    <w:proofErr w:type="spellEnd"/>
    <w:r w:rsidRPr="00643962">
      <w:rPr>
        <w:rFonts w:ascii="Arial" w:hAnsi="Arial" w:cs="Arial"/>
        <w:sz w:val="16"/>
        <w:szCs w:val="16"/>
      </w:rPr>
      <w:t xml:space="preserve"> de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B2BDF" w14:textId="77777777" w:rsidR="0030418E" w:rsidRDefault="0030418E" w:rsidP="002F4B65">
      <w:pPr>
        <w:spacing w:after="0"/>
      </w:pPr>
      <w:r>
        <w:separator/>
      </w:r>
    </w:p>
  </w:footnote>
  <w:footnote w:type="continuationSeparator" w:id="0">
    <w:p w14:paraId="6088A628" w14:textId="77777777" w:rsidR="0030418E" w:rsidRDefault="0030418E" w:rsidP="002F4B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44D97" w14:textId="7496B005" w:rsidR="0030418E" w:rsidRDefault="0027763B" w:rsidP="002F4B65">
    <w:pPr>
      <w:pStyle w:val="Header"/>
      <w:rPr>
        <w:rFonts w:ascii="Times New Roman" w:hAnsi="Times New Roman" w:cs="Times New Roman"/>
        <w:sz w:val="20"/>
        <w:szCs w:val="20"/>
      </w:rPr>
    </w:pPr>
    <w:r w:rsidRPr="00F15C3D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5C88C7C" wp14:editId="52974F42">
          <wp:simplePos x="0" y="0"/>
          <wp:positionH relativeFrom="column">
            <wp:posOffset>68771</wp:posOffset>
          </wp:positionH>
          <wp:positionV relativeFrom="paragraph">
            <wp:posOffset>111760</wp:posOffset>
          </wp:positionV>
          <wp:extent cx="897147" cy="5586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7" cy="5586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Fonts w:ascii="Times New Roman" w:hAnsi="Times New Roman" w:cs="Times New Roman"/>
        <w:sz w:val="20"/>
        <w:szCs w:val="20"/>
      </w:rPr>
      <w:id w:val="-1318336367"/>
      <w:docPartObj>
        <w:docPartGallery w:val="Page Numbers (Top of Page)"/>
        <w:docPartUnique/>
      </w:docPartObj>
    </w:sdtPr>
    <w:sdtEndPr/>
    <w:sdtContent>
      <w:p w14:paraId="017A4FF7" w14:textId="6C713B57" w:rsidR="0030418E" w:rsidRPr="00F334C6" w:rsidRDefault="0030418E" w:rsidP="00A4372F">
        <w:pPr>
          <w:pStyle w:val="Header"/>
          <w:rPr>
            <w:rFonts w:ascii="Arial" w:hAnsi="Arial" w:cs="Arial"/>
            <w:sz w:val="16"/>
            <w:szCs w:val="16"/>
            <w:lang w:val="es-PR"/>
          </w:rPr>
        </w:pPr>
        <w:r w:rsidRPr="009D21F2">
          <w:rPr>
            <w:rFonts w:ascii="Arial" w:hAnsi="Arial" w:cs="Arial"/>
            <w:sz w:val="20"/>
            <w:szCs w:val="20"/>
            <w:lang w:val="es-PR"/>
          </w:rPr>
          <w:tab/>
        </w:r>
        <w:r w:rsidRPr="009D21F2">
          <w:rPr>
            <w:rFonts w:ascii="Arial" w:hAnsi="Arial" w:cs="Arial"/>
            <w:sz w:val="20"/>
            <w:szCs w:val="20"/>
            <w:lang w:val="es-PR"/>
          </w:rPr>
          <w:tab/>
        </w:r>
        <w:r w:rsidR="00E17876">
          <w:rPr>
            <w:rFonts w:ascii="Arial" w:hAnsi="Arial" w:cs="Arial"/>
            <w:b/>
            <w:sz w:val="16"/>
            <w:szCs w:val="16"/>
            <w:lang w:val="es-PR"/>
          </w:rPr>
          <w:t>PONENCIA – INFORME DE TRANSICIÓN</w:t>
        </w:r>
      </w:p>
      <w:p w14:paraId="00FE0C43" w14:textId="1C96BC42" w:rsidR="0030418E" w:rsidRPr="00F334C6" w:rsidRDefault="0027763B" w:rsidP="00F15C3D">
        <w:pPr>
          <w:pStyle w:val="Header"/>
          <w:jc w:val="right"/>
          <w:rPr>
            <w:rFonts w:ascii="Arial" w:hAnsi="Arial" w:cs="Arial"/>
            <w:sz w:val="16"/>
            <w:szCs w:val="16"/>
            <w:lang w:val="es-PR"/>
          </w:rPr>
        </w:pPr>
        <w:r w:rsidRPr="00F334C6">
          <w:rPr>
            <w:rFonts w:ascii="Arial" w:hAnsi="Arial" w:cs="Arial"/>
            <w:b/>
            <w:sz w:val="16"/>
            <w:szCs w:val="16"/>
            <w:lang w:val="es-PR"/>
          </w:rPr>
          <w:t>2013</w:t>
        </w:r>
        <w:r w:rsidR="009F2416" w:rsidRPr="00F334C6">
          <w:rPr>
            <w:rFonts w:ascii="Arial" w:hAnsi="Arial" w:cs="Arial"/>
            <w:b/>
            <w:sz w:val="16"/>
            <w:szCs w:val="16"/>
            <w:lang w:val="es-PR"/>
          </w:rPr>
          <w:t>-2016</w:t>
        </w:r>
      </w:p>
      <w:p w14:paraId="558DF8B2" w14:textId="77777777" w:rsidR="00F334C6" w:rsidRPr="00F334C6" w:rsidRDefault="00F334C6" w:rsidP="00F15C3D">
        <w:pPr>
          <w:pStyle w:val="Header"/>
          <w:jc w:val="right"/>
          <w:rPr>
            <w:rFonts w:ascii="Arial" w:hAnsi="Arial" w:cs="Arial"/>
            <w:sz w:val="16"/>
            <w:szCs w:val="16"/>
            <w:lang w:val="es-PR"/>
          </w:rPr>
        </w:pPr>
      </w:p>
      <w:p w14:paraId="24391F2A" w14:textId="7EB6296E" w:rsidR="00F334C6" w:rsidRPr="00F334C6" w:rsidRDefault="00F334C6" w:rsidP="00F15C3D">
        <w:pPr>
          <w:pStyle w:val="Header"/>
          <w:jc w:val="right"/>
          <w:rPr>
            <w:rFonts w:ascii="Arial" w:hAnsi="Arial" w:cs="Arial"/>
            <w:sz w:val="16"/>
            <w:szCs w:val="16"/>
            <w:lang w:val="es-PR"/>
          </w:rPr>
        </w:pPr>
        <w:r w:rsidRPr="00F334C6">
          <w:rPr>
            <w:rFonts w:ascii="Arial" w:hAnsi="Arial" w:cs="Arial"/>
            <w:sz w:val="16"/>
            <w:szCs w:val="16"/>
            <w:lang w:val="es-PR"/>
          </w:rPr>
          <w:t xml:space="preserve">Página </w:t>
        </w:r>
        <w:r w:rsidRPr="00F334C6">
          <w:rPr>
            <w:rFonts w:ascii="Arial" w:hAnsi="Arial" w:cs="Arial"/>
            <w:b/>
            <w:bCs/>
            <w:sz w:val="16"/>
            <w:szCs w:val="16"/>
            <w:lang w:val="es-PR"/>
          </w:rPr>
          <w:fldChar w:fldCharType="begin"/>
        </w:r>
        <w:r w:rsidRPr="00F334C6">
          <w:rPr>
            <w:rFonts w:ascii="Arial" w:hAnsi="Arial" w:cs="Arial"/>
            <w:b/>
            <w:bCs/>
            <w:sz w:val="16"/>
            <w:szCs w:val="16"/>
            <w:lang w:val="es-PR"/>
          </w:rPr>
          <w:instrText xml:space="preserve"> PAGE  \* Arabic  \* MERGEFORMAT </w:instrText>
        </w:r>
        <w:r w:rsidRPr="00F334C6">
          <w:rPr>
            <w:rFonts w:ascii="Arial" w:hAnsi="Arial" w:cs="Arial"/>
            <w:b/>
            <w:bCs/>
            <w:sz w:val="16"/>
            <w:szCs w:val="16"/>
            <w:lang w:val="es-PR"/>
          </w:rPr>
          <w:fldChar w:fldCharType="separate"/>
        </w:r>
        <w:r w:rsidR="0086344F">
          <w:rPr>
            <w:rFonts w:ascii="Arial" w:hAnsi="Arial" w:cs="Arial"/>
            <w:b/>
            <w:bCs/>
            <w:noProof/>
            <w:sz w:val="16"/>
            <w:szCs w:val="16"/>
            <w:lang w:val="es-PR"/>
          </w:rPr>
          <w:t>5</w:t>
        </w:r>
        <w:r w:rsidRPr="00F334C6">
          <w:rPr>
            <w:rFonts w:ascii="Arial" w:hAnsi="Arial" w:cs="Arial"/>
            <w:b/>
            <w:bCs/>
            <w:sz w:val="16"/>
            <w:szCs w:val="16"/>
            <w:lang w:val="es-PR"/>
          </w:rPr>
          <w:fldChar w:fldCharType="end"/>
        </w:r>
        <w:r w:rsidRPr="00F334C6">
          <w:rPr>
            <w:rFonts w:ascii="Arial" w:hAnsi="Arial" w:cs="Arial"/>
            <w:sz w:val="16"/>
            <w:szCs w:val="16"/>
            <w:lang w:val="es-PR"/>
          </w:rPr>
          <w:t xml:space="preserve"> of </w:t>
        </w:r>
        <w:r w:rsidRPr="00F334C6">
          <w:rPr>
            <w:rFonts w:ascii="Arial" w:hAnsi="Arial" w:cs="Arial"/>
            <w:b/>
            <w:bCs/>
            <w:sz w:val="16"/>
            <w:szCs w:val="16"/>
            <w:lang w:val="es-PR"/>
          </w:rPr>
          <w:fldChar w:fldCharType="begin"/>
        </w:r>
        <w:r w:rsidRPr="00F334C6">
          <w:rPr>
            <w:rFonts w:ascii="Arial" w:hAnsi="Arial" w:cs="Arial"/>
            <w:b/>
            <w:bCs/>
            <w:sz w:val="16"/>
            <w:szCs w:val="16"/>
            <w:lang w:val="es-PR"/>
          </w:rPr>
          <w:instrText xml:space="preserve"> NUMPAGES  \* Arabic  \* MERGEFORMAT </w:instrText>
        </w:r>
        <w:r w:rsidRPr="00F334C6">
          <w:rPr>
            <w:rFonts w:ascii="Arial" w:hAnsi="Arial" w:cs="Arial"/>
            <w:b/>
            <w:bCs/>
            <w:sz w:val="16"/>
            <w:szCs w:val="16"/>
            <w:lang w:val="es-PR"/>
          </w:rPr>
          <w:fldChar w:fldCharType="separate"/>
        </w:r>
        <w:r w:rsidR="0086344F">
          <w:rPr>
            <w:rFonts w:ascii="Arial" w:hAnsi="Arial" w:cs="Arial"/>
            <w:b/>
            <w:bCs/>
            <w:noProof/>
            <w:sz w:val="16"/>
            <w:szCs w:val="16"/>
            <w:lang w:val="es-PR"/>
          </w:rPr>
          <w:t>5</w:t>
        </w:r>
        <w:r w:rsidRPr="00F334C6">
          <w:rPr>
            <w:rFonts w:ascii="Arial" w:hAnsi="Arial" w:cs="Arial"/>
            <w:b/>
            <w:bCs/>
            <w:sz w:val="16"/>
            <w:szCs w:val="16"/>
            <w:lang w:val="es-PR"/>
          </w:rPr>
          <w:fldChar w:fldCharType="end"/>
        </w:r>
      </w:p>
      <w:p w14:paraId="5140CFCD" w14:textId="53BE1BD9" w:rsidR="0030418E" w:rsidRPr="00053EAA" w:rsidRDefault="0086344F" w:rsidP="00053EAA">
        <w:pPr>
          <w:pStyle w:val="Header"/>
          <w:jc w:val="right"/>
          <w:rPr>
            <w:rFonts w:ascii="Arial" w:hAnsi="Arial" w:cs="Arial"/>
            <w:b/>
            <w:bCs/>
            <w:sz w:val="20"/>
            <w:szCs w:val="20"/>
            <w:lang w:val="es-PR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05BA8" w14:textId="20A791AD" w:rsidR="00040020" w:rsidRPr="00F334C6" w:rsidRDefault="00261ECA" w:rsidP="00261ECA">
    <w:pPr>
      <w:pStyle w:val="Header"/>
      <w:jc w:val="center"/>
      <w:rPr>
        <w:rFonts w:ascii="Arial" w:hAnsi="Arial" w:cs="Arial"/>
        <w:b/>
        <w:sz w:val="24"/>
        <w:szCs w:val="24"/>
        <w:lang w:val="es-PR"/>
      </w:rPr>
    </w:pPr>
    <w:r w:rsidRPr="00F334C6">
      <w:rPr>
        <w:rFonts w:ascii="Arial" w:hAnsi="Arial" w:cs="Arial"/>
        <w:b/>
        <w:sz w:val="24"/>
        <w:szCs w:val="24"/>
        <w:lang w:val="es-PR"/>
      </w:rPr>
      <w:t>AUTORIDAD DE EDIFCIOS PÚBLICOS</w:t>
    </w:r>
  </w:p>
  <w:p w14:paraId="49D2377D" w14:textId="69A5F0F5" w:rsidR="00261ECA" w:rsidRPr="00643962" w:rsidRDefault="00261ECA" w:rsidP="00643962">
    <w:pPr>
      <w:pStyle w:val="Header"/>
      <w:jc w:val="center"/>
      <w:rPr>
        <w:rFonts w:ascii="Arial" w:hAnsi="Arial" w:cs="Arial"/>
        <w:b/>
        <w:sz w:val="24"/>
        <w:szCs w:val="24"/>
        <w:lang w:val="es-PR"/>
      </w:rPr>
    </w:pPr>
    <w:r w:rsidRPr="00643962">
      <w:rPr>
        <w:rFonts w:ascii="Arial" w:hAnsi="Arial" w:cs="Arial"/>
        <w:b/>
        <w:sz w:val="24"/>
        <w:szCs w:val="24"/>
        <w:lang w:val="es-PR"/>
      </w:rPr>
      <w:t>ESTADO LIBRE ASOCIADO DE PUERTO RICO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6803"/>
    <w:multiLevelType w:val="hybridMultilevel"/>
    <w:tmpl w:val="1F0C600C"/>
    <w:lvl w:ilvl="0" w:tplc="35A0C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1E75"/>
    <w:multiLevelType w:val="hybridMultilevel"/>
    <w:tmpl w:val="992E2138"/>
    <w:lvl w:ilvl="0" w:tplc="7056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C64147"/>
    <w:multiLevelType w:val="hybridMultilevel"/>
    <w:tmpl w:val="7206BBD2"/>
    <w:lvl w:ilvl="0" w:tplc="D7DE0CC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77CAB"/>
    <w:multiLevelType w:val="hybridMultilevel"/>
    <w:tmpl w:val="7624CE1E"/>
    <w:lvl w:ilvl="0" w:tplc="0082CA2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F430B"/>
    <w:multiLevelType w:val="hybridMultilevel"/>
    <w:tmpl w:val="B0BCA260"/>
    <w:lvl w:ilvl="0" w:tplc="EA1A640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87BAA"/>
    <w:multiLevelType w:val="hybridMultilevel"/>
    <w:tmpl w:val="F4B2E1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A2C14"/>
    <w:multiLevelType w:val="hybridMultilevel"/>
    <w:tmpl w:val="7C0EB092"/>
    <w:lvl w:ilvl="0" w:tplc="7E3C3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65"/>
    <w:rsid w:val="00001F38"/>
    <w:rsid w:val="00012C33"/>
    <w:rsid w:val="00012E6D"/>
    <w:rsid w:val="00036BA2"/>
    <w:rsid w:val="00040020"/>
    <w:rsid w:val="00040266"/>
    <w:rsid w:val="00053EAA"/>
    <w:rsid w:val="000576A4"/>
    <w:rsid w:val="000617D9"/>
    <w:rsid w:val="00066958"/>
    <w:rsid w:val="000715C8"/>
    <w:rsid w:val="00075F8F"/>
    <w:rsid w:val="0007677E"/>
    <w:rsid w:val="00084307"/>
    <w:rsid w:val="0008668D"/>
    <w:rsid w:val="000A06BF"/>
    <w:rsid w:val="000B0BC8"/>
    <w:rsid w:val="000B26D2"/>
    <w:rsid w:val="000B7742"/>
    <w:rsid w:val="000C41D6"/>
    <w:rsid w:val="000D0C7C"/>
    <w:rsid w:val="000D2571"/>
    <w:rsid w:val="000D3172"/>
    <w:rsid w:val="000D3189"/>
    <w:rsid w:val="000E1DC1"/>
    <w:rsid w:val="000E245F"/>
    <w:rsid w:val="000E24F1"/>
    <w:rsid w:val="000E368D"/>
    <w:rsid w:val="000E3754"/>
    <w:rsid w:val="000F1653"/>
    <w:rsid w:val="000F41E9"/>
    <w:rsid w:val="000F672F"/>
    <w:rsid w:val="0010420B"/>
    <w:rsid w:val="001049DF"/>
    <w:rsid w:val="00106484"/>
    <w:rsid w:val="00110C54"/>
    <w:rsid w:val="00113B0F"/>
    <w:rsid w:val="001169FF"/>
    <w:rsid w:val="00117E47"/>
    <w:rsid w:val="00124806"/>
    <w:rsid w:val="00126B7A"/>
    <w:rsid w:val="00126C78"/>
    <w:rsid w:val="0012713C"/>
    <w:rsid w:val="00143E01"/>
    <w:rsid w:val="0014616E"/>
    <w:rsid w:val="00151BEE"/>
    <w:rsid w:val="00156BA8"/>
    <w:rsid w:val="00165CAB"/>
    <w:rsid w:val="00165CFB"/>
    <w:rsid w:val="00165D3D"/>
    <w:rsid w:val="00183ADC"/>
    <w:rsid w:val="00192314"/>
    <w:rsid w:val="001A2FB0"/>
    <w:rsid w:val="001A6975"/>
    <w:rsid w:val="001B2271"/>
    <w:rsid w:val="001B51E7"/>
    <w:rsid w:val="001B5F85"/>
    <w:rsid w:val="001C0C7F"/>
    <w:rsid w:val="001C1AE7"/>
    <w:rsid w:val="001C3CD5"/>
    <w:rsid w:val="001D035B"/>
    <w:rsid w:val="001D1947"/>
    <w:rsid w:val="001D2D7F"/>
    <w:rsid w:val="001D4DB5"/>
    <w:rsid w:val="001D65BB"/>
    <w:rsid w:val="001D6EF2"/>
    <w:rsid w:val="001E295F"/>
    <w:rsid w:val="001E7283"/>
    <w:rsid w:val="001F6FC5"/>
    <w:rsid w:val="0020755E"/>
    <w:rsid w:val="002105AD"/>
    <w:rsid w:val="00214CC5"/>
    <w:rsid w:val="002231F6"/>
    <w:rsid w:val="0022323F"/>
    <w:rsid w:val="00223421"/>
    <w:rsid w:val="0022792A"/>
    <w:rsid w:val="002514DA"/>
    <w:rsid w:val="00254FE0"/>
    <w:rsid w:val="002615A9"/>
    <w:rsid w:val="00261ECA"/>
    <w:rsid w:val="00271B6B"/>
    <w:rsid w:val="00275B40"/>
    <w:rsid w:val="002767FD"/>
    <w:rsid w:val="0027735D"/>
    <w:rsid w:val="0027763B"/>
    <w:rsid w:val="00280211"/>
    <w:rsid w:val="00286D82"/>
    <w:rsid w:val="00293FCB"/>
    <w:rsid w:val="002A1B92"/>
    <w:rsid w:val="002B1310"/>
    <w:rsid w:val="002C2900"/>
    <w:rsid w:val="002C60BE"/>
    <w:rsid w:val="002E4732"/>
    <w:rsid w:val="002E69FD"/>
    <w:rsid w:val="002E72EE"/>
    <w:rsid w:val="002E7A82"/>
    <w:rsid w:val="002F17B8"/>
    <w:rsid w:val="002F4B65"/>
    <w:rsid w:val="0030095C"/>
    <w:rsid w:val="00304103"/>
    <w:rsid w:val="0030418E"/>
    <w:rsid w:val="003106FB"/>
    <w:rsid w:val="00314F8F"/>
    <w:rsid w:val="00322032"/>
    <w:rsid w:val="0032252C"/>
    <w:rsid w:val="00323592"/>
    <w:rsid w:val="003278E2"/>
    <w:rsid w:val="003322A8"/>
    <w:rsid w:val="0033551D"/>
    <w:rsid w:val="0034062C"/>
    <w:rsid w:val="00345E4B"/>
    <w:rsid w:val="003472DE"/>
    <w:rsid w:val="003556DF"/>
    <w:rsid w:val="00364792"/>
    <w:rsid w:val="0036508E"/>
    <w:rsid w:val="00366BD8"/>
    <w:rsid w:val="003768FF"/>
    <w:rsid w:val="00377A54"/>
    <w:rsid w:val="003819DB"/>
    <w:rsid w:val="003837E4"/>
    <w:rsid w:val="00384658"/>
    <w:rsid w:val="00384829"/>
    <w:rsid w:val="00395D3A"/>
    <w:rsid w:val="003B10E9"/>
    <w:rsid w:val="003B22FF"/>
    <w:rsid w:val="003B6064"/>
    <w:rsid w:val="003C1020"/>
    <w:rsid w:val="003D0D69"/>
    <w:rsid w:val="003D1B11"/>
    <w:rsid w:val="003D6F44"/>
    <w:rsid w:val="003D71A3"/>
    <w:rsid w:val="003E0390"/>
    <w:rsid w:val="003E3CD7"/>
    <w:rsid w:val="00402091"/>
    <w:rsid w:val="00402B6D"/>
    <w:rsid w:val="00424FED"/>
    <w:rsid w:val="00430342"/>
    <w:rsid w:val="004303B7"/>
    <w:rsid w:val="00431A6D"/>
    <w:rsid w:val="00443628"/>
    <w:rsid w:val="00443FC2"/>
    <w:rsid w:val="00445F3E"/>
    <w:rsid w:val="004545AB"/>
    <w:rsid w:val="00455455"/>
    <w:rsid w:val="004620DE"/>
    <w:rsid w:val="0046416F"/>
    <w:rsid w:val="00471A4B"/>
    <w:rsid w:val="00471D95"/>
    <w:rsid w:val="004728AD"/>
    <w:rsid w:val="00474D6A"/>
    <w:rsid w:val="004768F0"/>
    <w:rsid w:val="00486A04"/>
    <w:rsid w:val="00490EBE"/>
    <w:rsid w:val="00496C56"/>
    <w:rsid w:val="004A643D"/>
    <w:rsid w:val="004A6BB0"/>
    <w:rsid w:val="004B3BF7"/>
    <w:rsid w:val="004B54B4"/>
    <w:rsid w:val="004B54CD"/>
    <w:rsid w:val="004C2CA8"/>
    <w:rsid w:val="004C5745"/>
    <w:rsid w:val="004D4013"/>
    <w:rsid w:val="004D5116"/>
    <w:rsid w:val="004E0BD3"/>
    <w:rsid w:val="004E1A1F"/>
    <w:rsid w:val="004E5869"/>
    <w:rsid w:val="004F0A3F"/>
    <w:rsid w:val="004F587E"/>
    <w:rsid w:val="005026D7"/>
    <w:rsid w:val="005134D1"/>
    <w:rsid w:val="00514324"/>
    <w:rsid w:val="0051596A"/>
    <w:rsid w:val="00531A98"/>
    <w:rsid w:val="00533E25"/>
    <w:rsid w:val="005417D8"/>
    <w:rsid w:val="00542C7D"/>
    <w:rsid w:val="0054671C"/>
    <w:rsid w:val="00546E02"/>
    <w:rsid w:val="005531D8"/>
    <w:rsid w:val="005553E1"/>
    <w:rsid w:val="00556163"/>
    <w:rsid w:val="0055646D"/>
    <w:rsid w:val="005572A7"/>
    <w:rsid w:val="0056678B"/>
    <w:rsid w:val="00567BDE"/>
    <w:rsid w:val="005754AE"/>
    <w:rsid w:val="00576784"/>
    <w:rsid w:val="0059567A"/>
    <w:rsid w:val="0059608F"/>
    <w:rsid w:val="005A195D"/>
    <w:rsid w:val="005A7D41"/>
    <w:rsid w:val="005B3295"/>
    <w:rsid w:val="005C0C11"/>
    <w:rsid w:val="005D64BA"/>
    <w:rsid w:val="005E216E"/>
    <w:rsid w:val="005E21ED"/>
    <w:rsid w:val="005E3005"/>
    <w:rsid w:val="005F2511"/>
    <w:rsid w:val="005F6015"/>
    <w:rsid w:val="005F7E87"/>
    <w:rsid w:val="00600D8E"/>
    <w:rsid w:val="00610CC2"/>
    <w:rsid w:val="00613447"/>
    <w:rsid w:val="00614491"/>
    <w:rsid w:val="00621DF4"/>
    <w:rsid w:val="00622242"/>
    <w:rsid w:val="00635DC6"/>
    <w:rsid w:val="00643962"/>
    <w:rsid w:val="00644518"/>
    <w:rsid w:val="0064522C"/>
    <w:rsid w:val="006523B4"/>
    <w:rsid w:val="006569B6"/>
    <w:rsid w:val="00661479"/>
    <w:rsid w:val="006618A1"/>
    <w:rsid w:val="0066606F"/>
    <w:rsid w:val="00676289"/>
    <w:rsid w:val="0067699F"/>
    <w:rsid w:val="00692C1C"/>
    <w:rsid w:val="00695DCE"/>
    <w:rsid w:val="006A437E"/>
    <w:rsid w:val="006A7D43"/>
    <w:rsid w:val="006B204E"/>
    <w:rsid w:val="006B6E09"/>
    <w:rsid w:val="006C1CC3"/>
    <w:rsid w:val="006C736F"/>
    <w:rsid w:val="006D63AE"/>
    <w:rsid w:val="006D7FD0"/>
    <w:rsid w:val="006F3F00"/>
    <w:rsid w:val="007032A9"/>
    <w:rsid w:val="00707F96"/>
    <w:rsid w:val="00724D9F"/>
    <w:rsid w:val="00734EA8"/>
    <w:rsid w:val="00740CD5"/>
    <w:rsid w:val="00744EBE"/>
    <w:rsid w:val="00745173"/>
    <w:rsid w:val="0074676C"/>
    <w:rsid w:val="00761B34"/>
    <w:rsid w:val="00765C5F"/>
    <w:rsid w:val="007666FA"/>
    <w:rsid w:val="00785AB7"/>
    <w:rsid w:val="00792F4A"/>
    <w:rsid w:val="007949AE"/>
    <w:rsid w:val="00796F57"/>
    <w:rsid w:val="007A1D02"/>
    <w:rsid w:val="007A5B17"/>
    <w:rsid w:val="007B1F09"/>
    <w:rsid w:val="007B36AE"/>
    <w:rsid w:val="007B694F"/>
    <w:rsid w:val="007C04DB"/>
    <w:rsid w:val="007C3FFA"/>
    <w:rsid w:val="007D494A"/>
    <w:rsid w:val="007E0654"/>
    <w:rsid w:val="007E2FC7"/>
    <w:rsid w:val="007E5A71"/>
    <w:rsid w:val="007E5BBA"/>
    <w:rsid w:val="007E7740"/>
    <w:rsid w:val="007F001B"/>
    <w:rsid w:val="007F30E4"/>
    <w:rsid w:val="00801D2B"/>
    <w:rsid w:val="00802189"/>
    <w:rsid w:val="00802C75"/>
    <w:rsid w:val="00806E4B"/>
    <w:rsid w:val="00823C71"/>
    <w:rsid w:val="00823F49"/>
    <w:rsid w:val="00824964"/>
    <w:rsid w:val="008542FF"/>
    <w:rsid w:val="00855358"/>
    <w:rsid w:val="0086344F"/>
    <w:rsid w:val="008656E9"/>
    <w:rsid w:val="00871344"/>
    <w:rsid w:val="00873DB9"/>
    <w:rsid w:val="008751E9"/>
    <w:rsid w:val="00885C36"/>
    <w:rsid w:val="00886276"/>
    <w:rsid w:val="00890760"/>
    <w:rsid w:val="0089513D"/>
    <w:rsid w:val="008A3195"/>
    <w:rsid w:val="008A638B"/>
    <w:rsid w:val="008B3D95"/>
    <w:rsid w:val="008B582D"/>
    <w:rsid w:val="008C098C"/>
    <w:rsid w:val="008C62D9"/>
    <w:rsid w:val="008D1CC8"/>
    <w:rsid w:val="008D623F"/>
    <w:rsid w:val="008E0322"/>
    <w:rsid w:val="008E148D"/>
    <w:rsid w:val="008E612E"/>
    <w:rsid w:val="008E6D89"/>
    <w:rsid w:val="008F7DB6"/>
    <w:rsid w:val="009037E3"/>
    <w:rsid w:val="00905A03"/>
    <w:rsid w:val="00913A05"/>
    <w:rsid w:val="00914B3D"/>
    <w:rsid w:val="00914BA2"/>
    <w:rsid w:val="00914FE6"/>
    <w:rsid w:val="00923155"/>
    <w:rsid w:val="00934B06"/>
    <w:rsid w:val="009424C3"/>
    <w:rsid w:val="00943543"/>
    <w:rsid w:val="0094521C"/>
    <w:rsid w:val="00950838"/>
    <w:rsid w:val="00962D5A"/>
    <w:rsid w:val="009668B7"/>
    <w:rsid w:val="009669B0"/>
    <w:rsid w:val="00977A8D"/>
    <w:rsid w:val="009836BA"/>
    <w:rsid w:val="00996277"/>
    <w:rsid w:val="009A299C"/>
    <w:rsid w:val="009A5D85"/>
    <w:rsid w:val="009A6698"/>
    <w:rsid w:val="009B20ED"/>
    <w:rsid w:val="009B6306"/>
    <w:rsid w:val="009B6573"/>
    <w:rsid w:val="009B7064"/>
    <w:rsid w:val="009C1FCA"/>
    <w:rsid w:val="009C7A0D"/>
    <w:rsid w:val="009D21F2"/>
    <w:rsid w:val="009E64E2"/>
    <w:rsid w:val="009E7D44"/>
    <w:rsid w:val="009F1181"/>
    <w:rsid w:val="009F2416"/>
    <w:rsid w:val="00A0125A"/>
    <w:rsid w:val="00A025F5"/>
    <w:rsid w:val="00A05632"/>
    <w:rsid w:val="00A0591E"/>
    <w:rsid w:val="00A278FD"/>
    <w:rsid w:val="00A330B5"/>
    <w:rsid w:val="00A354CB"/>
    <w:rsid w:val="00A41330"/>
    <w:rsid w:val="00A42350"/>
    <w:rsid w:val="00A4372F"/>
    <w:rsid w:val="00A57EE9"/>
    <w:rsid w:val="00A652D5"/>
    <w:rsid w:val="00A660B7"/>
    <w:rsid w:val="00A73684"/>
    <w:rsid w:val="00A76BB5"/>
    <w:rsid w:val="00A90AF2"/>
    <w:rsid w:val="00A95DBD"/>
    <w:rsid w:val="00A96BDF"/>
    <w:rsid w:val="00A97C65"/>
    <w:rsid w:val="00AA6955"/>
    <w:rsid w:val="00AB520E"/>
    <w:rsid w:val="00AB54AD"/>
    <w:rsid w:val="00AB7AE9"/>
    <w:rsid w:val="00AC73CB"/>
    <w:rsid w:val="00AC760F"/>
    <w:rsid w:val="00AD05AE"/>
    <w:rsid w:val="00AD4BBE"/>
    <w:rsid w:val="00AD5286"/>
    <w:rsid w:val="00AE1D55"/>
    <w:rsid w:val="00AE604D"/>
    <w:rsid w:val="00AF34CF"/>
    <w:rsid w:val="00AF40AC"/>
    <w:rsid w:val="00AF45CB"/>
    <w:rsid w:val="00AF577F"/>
    <w:rsid w:val="00AF7C74"/>
    <w:rsid w:val="00B01A30"/>
    <w:rsid w:val="00B02FBF"/>
    <w:rsid w:val="00B10ECB"/>
    <w:rsid w:val="00B116D8"/>
    <w:rsid w:val="00B14215"/>
    <w:rsid w:val="00B26B81"/>
    <w:rsid w:val="00B34800"/>
    <w:rsid w:val="00B36243"/>
    <w:rsid w:val="00B36FC4"/>
    <w:rsid w:val="00B47B95"/>
    <w:rsid w:val="00B7278A"/>
    <w:rsid w:val="00B738A1"/>
    <w:rsid w:val="00B92BF7"/>
    <w:rsid w:val="00B973DE"/>
    <w:rsid w:val="00BB0700"/>
    <w:rsid w:val="00BC0B2C"/>
    <w:rsid w:val="00BC4712"/>
    <w:rsid w:val="00BD0719"/>
    <w:rsid w:val="00BD4A95"/>
    <w:rsid w:val="00BE15EA"/>
    <w:rsid w:val="00BE3651"/>
    <w:rsid w:val="00BF0186"/>
    <w:rsid w:val="00BF297C"/>
    <w:rsid w:val="00BF2BE2"/>
    <w:rsid w:val="00C00944"/>
    <w:rsid w:val="00C05C75"/>
    <w:rsid w:val="00C070BD"/>
    <w:rsid w:val="00C145EE"/>
    <w:rsid w:val="00C15AAF"/>
    <w:rsid w:val="00C17579"/>
    <w:rsid w:val="00C179B5"/>
    <w:rsid w:val="00C17DF2"/>
    <w:rsid w:val="00C26E78"/>
    <w:rsid w:val="00C27F24"/>
    <w:rsid w:val="00C339EE"/>
    <w:rsid w:val="00C3505D"/>
    <w:rsid w:val="00C42039"/>
    <w:rsid w:val="00C47A45"/>
    <w:rsid w:val="00C50A70"/>
    <w:rsid w:val="00C50B00"/>
    <w:rsid w:val="00C6361E"/>
    <w:rsid w:val="00C718E0"/>
    <w:rsid w:val="00C71C5E"/>
    <w:rsid w:val="00C75830"/>
    <w:rsid w:val="00C82CFB"/>
    <w:rsid w:val="00C8791F"/>
    <w:rsid w:val="00CA2581"/>
    <w:rsid w:val="00CC025B"/>
    <w:rsid w:val="00CC761A"/>
    <w:rsid w:val="00CD5ABF"/>
    <w:rsid w:val="00CE2B95"/>
    <w:rsid w:val="00CF1FC1"/>
    <w:rsid w:val="00CF2A86"/>
    <w:rsid w:val="00CF4868"/>
    <w:rsid w:val="00D02BD2"/>
    <w:rsid w:val="00D16211"/>
    <w:rsid w:val="00D22484"/>
    <w:rsid w:val="00D22AD2"/>
    <w:rsid w:val="00D53892"/>
    <w:rsid w:val="00D57C52"/>
    <w:rsid w:val="00D82121"/>
    <w:rsid w:val="00D84A15"/>
    <w:rsid w:val="00D96E69"/>
    <w:rsid w:val="00DA2097"/>
    <w:rsid w:val="00DA2E42"/>
    <w:rsid w:val="00DA6741"/>
    <w:rsid w:val="00DC63D8"/>
    <w:rsid w:val="00DC76DF"/>
    <w:rsid w:val="00DD10BB"/>
    <w:rsid w:val="00DD7C78"/>
    <w:rsid w:val="00DE2EDC"/>
    <w:rsid w:val="00DF5DCA"/>
    <w:rsid w:val="00E04B1C"/>
    <w:rsid w:val="00E07483"/>
    <w:rsid w:val="00E17876"/>
    <w:rsid w:val="00E32A24"/>
    <w:rsid w:val="00E32CF8"/>
    <w:rsid w:val="00E368BC"/>
    <w:rsid w:val="00E4069D"/>
    <w:rsid w:val="00E45A78"/>
    <w:rsid w:val="00E45ACE"/>
    <w:rsid w:val="00E46069"/>
    <w:rsid w:val="00E52660"/>
    <w:rsid w:val="00E53C71"/>
    <w:rsid w:val="00E54C62"/>
    <w:rsid w:val="00E56BC4"/>
    <w:rsid w:val="00E65920"/>
    <w:rsid w:val="00E70F85"/>
    <w:rsid w:val="00E72493"/>
    <w:rsid w:val="00E836AE"/>
    <w:rsid w:val="00E83DA9"/>
    <w:rsid w:val="00E9306D"/>
    <w:rsid w:val="00EB26DA"/>
    <w:rsid w:val="00EC008A"/>
    <w:rsid w:val="00EC1CF9"/>
    <w:rsid w:val="00EC7852"/>
    <w:rsid w:val="00ED3145"/>
    <w:rsid w:val="00EE148A"/>
    <w:rsid w:val="00EE71E2"/>
    <w:rsid w:val="00EF1C91"/>
    <w:rsid w:val="00EF3F3A"/>
    <w:rsid w:val="00EF5F85"/>
    <w:rsid w:val="00EF6C56"/>
    <w:rsid w:val="00EF6FBE"/>
    <w:rsid w:val="00F01E14"/>
    <w:rsid w:val="00F1148C"/>
    <w:rsid w:val="00F127EC"/>
    <w:rsid w:val="00F150EC"/>
    <w:rsid w:val="00F15C3D"/>
    <w:rsid w:val="00F24032"/>
    <w:rsid w:val="00F24124"/>
    <w:rsid w:val="00F334C6"/>
    <w:rsid w:val="00F3573E"/>
    <w:rsid w:val="00F44E1A"/>
    <w:rsid w:val="00F46AF8"/>
    <w:rsid w:val="00F50B3E"/>
    <w:rsid w:val="00F556E2"/>
    <w:rsid w:val="00F57675"/>
    <w:rsid w:val="00F73110"/>
    <w:rsid w:val="00F75C52"/>
    <w:rsid w:val="00F822E4"/>
    <w:rsid w:val="00F92C5F"/>
    <w:rsid w:val="00F97673"/>
    <w:rsid w:val="00F97B18"/>
    <w:rsid w:val="00FA0676"/>
    <w:rsid w:val="00FA212E"/>
    <w:rsid w:val="00FA29E6"/>
    <w:rsid w:val="00FA2E35"/>
    <w:rsid w:val="00FA4441"/>
    <w:rsid w:val="00FB0B24"/>
    <w:rsid w:val="00FB4D63"/>
    <w:rsid w:val="00FC154A"/>
    <w:rsid w:val="00FD2F01"/>
    <w:rsid w:val="00FD7174"/>
    <w:rsid w:val="00FE0633"/>
    <w:rsid w:val="00FE0C4B"/>
    <w:rsid w:val="00FF0C6D"/>
    <w:rsid w:val="00FF6ABB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5BE1A8F"/>
  <w15:chartTrackingRefBased/>
  <w15:docId w15:val="{466AE1F9-9C5E-45E4-9AC2-EAD6243D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B65"/>
    <w:pPr>
      <w:spacing w:after="20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C73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B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4B65"/>
  </w:style>
  <w:style w:type="paragraph" w:styleId="Footer">
    <w:name w:val="footer"/>
    <w:basedOn w:val="Normal"/>
    <w:link w:val="FooterChar"/>
    <w:uiPriority w:val="99"/>
    <w:unhideWhenUsed/>
    <w:rsid w:val="002F4B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4B65"/>
  </w:style>
  <w:style w:type="character" w:styleId="CommentReference">
    <w:name w:val="annotation reference"/>
    <w:basedOn w:val="DefaultParagraphFont"/>
    <w:uiPriority w:val="99"/>
    <w:semiHidden/>
    <w:unhideWhenUsed/>
    <w:rsid w:val="002F4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B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B6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B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65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2F4B65"/>
    <w:pPr>
      <w:spacing w:after="0" w:line="240" w:lineRule="auto"/>
    </w:pPr>
    <w:rPr>
      <w:lang w:val="es-PR"/>
    </w:rPr>
  </w:style>
  <w:style w:type="paragraph" w:customStyle="1" w:styleId="pestanatexto">
    <w:name w:val="pestana_texto"/>
    <w:basedOn w:val="Normal"/>
    <w:rsid w:val="00165D3D"/>
    <w:pPr>
      <w:spacing w:before="100" w:beforeAutospacing="1" w:after="100" w:afterAutospacing="1"/>
    </w:pPr>
    <w:rPr>
      <w:rFonts w:ascii="Tahoma" w:eastAsia="Times New Roman" w:hAnsi="Tahoma" w:cs="Tahoma"/>
      <w:color w:val="666666"/>
      <w:sz w:val="17"/>
      <w:szCs w:val="17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3E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303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73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40020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40020"/>
    <w:pPr>
      <w:tabs>
        <w:tab w:val="right" w:leader="dot" w:pos="9350"/>
      </w:tabs>
      <w:spacing w:after="100" w:line="720" w:lineRule="auto"/>
    </w:pPr>
  </w:style>
  <w:style w:type="character" w:styleId="Hyperlink">
    <w:name w:val="Hyperlink"/>
    <w:basedOn w:val="DefaultParagraphFont"/>
    <w:uiPriority w:val="99"/>
    <w:unhideWhenUsed/>
    <w:rsid w:val="00040020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40020"/>
    <w:rPr>
      <w:lang w:val="es-PR"/>
    </w:rPr>
  </w:style>
  <w:style w:type="paragraph" w:styleId="NormalWeb">
    <w:name w:val="Normal (Web)"/>
    <w:basedOn w:val="Normal"/>
    <w:uiPriority w:val="99"/>
    <w:semiHidden/>
    <w:unhideWhenUsed/>
    <w:rsid w:val="00261EC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R"/>
    </w:rPr>
  </w:style>
  <w:style w:type="table" w:styleId="TableGrid">
    <w:name w:val="Table Grid"/>
    <w:basedOn w:val="TableNormal"/>
    <w:uiPriority w:val="39"/>
    <w:rsid w:val="0060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999E6CE586F4C9374044818C6A1E0" ma:contentTypeVersion="0" ma:contentTypeDescription="Create a new document." ma:contentTypeScope="" ma:versionID="23406493f8d5c59f8d2cf625ce3ee2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672739-2922-476C-B86D-0B3124FF9E8C}"/>
</file>

<file path=customXml/itemProps2.xml><?xml version="1.0" encoding="utf-8"?>
<ds:datastoreItem xmlns:ds="http://schemas.openxmlformats.org/officeDocument/2006/customXml" ds:itemID="{297DEA8E-E4F1-4AF3-8361-A9305A05068B}"/>
</file>

<file path=customXml/itemProps3.xml><?xml version="1.0" encoding="utf-8"?>
<ds:datastoreItem xmlns:ds="http://schemas.openxmlformats.org/officeDocument/2006/customXml" ds:itemID="{88F50306-42E4-4B66-9481-5D8F667C2197}"/>
</file>

<file path=customXml/itemProps4.xml><?xml version="1.0" encoding="utf-8"?>
<ds:datastoreItem xmlns:ds="http://schemas.openxmlformats.org/officeDocument/2006/customXml" ds:itemID="{A809A411-E27F-43EA-AA82-0E5E1FDB83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Quiros</dc:creator>
  <cp:keywords/>
  <dc:description/>
  <cp:lastModifiedBy>Heidy De la Cruz Soltero</cp:lastModifiedBy>
  <cp:revision>2</cp:revision>
  <cp:lastPrinted>2016-10-14T16:53:00Z</cp:lastPrinted>
  <dcterms:created xsi:type="dcterms:W3CDTF">2016-10-14T17:01:00Z</dcterms:created>
  <dcterms:modified xsi:type="dcterms:W3CDTF">2016-10-14T17:01:00Z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0x010100B66999E6CE586F4C9374044818C6A1E0</vt:lpwstr>
  </property>
</Properties>
</file>