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34" w:rsidRPr="0064332A" w:rsidRDefault="00BC2B34" w:rsidP="006F7467">
      <w:pPr>
        <w:jc w:val="both"/>
        <w:rPr>
          <w:rFonts w:ascii="Arial" w:hAnsi="Arial" w:cs="Arial"/>
          <w:sz w:val="24"/>
          <w:szCs w:val="24"/>
        </w:rPr>
      </w:pPr>
    </w:p>
    <w:p w:rsidR="006F7467" w:rsidRPr="0064332A" w:rsidRDefault="006F7467" w:rsidP="006F7467">
      <w:pPr>
        <w:spacing w:after="0" w:line="240" w:lineRule="auto"/>
        <w:jc w:val="both"/>
        <w:rPr>
          <w:rFonts w:ascii="Arial" w:hAnsi="Arial" w:cs="Arial"/>
          <w:sz w:val="24"/>
          <w:szCs w:val="24"/>
        </w:rPr>
      </w:pPr>
    </w:p>
    <w:p w:rsidR="006F7467" w:rsidRPr="0064332A" w:rsidRDefault="00F75C30" w:rsidP="006F7467">
      <w:pPr>
        <w:spacing w:after="0" w:line="240" w:lineRule="auto"/>
        <w:jc w:val="both"/>
        <w:rPr>
          <w:rFonts w:ascii="Arial" w:hAnsi="Arial" w:cs="Arial"/>
          <w:sz w:val="24"/>
          <w:szCs w:val="24"/>
        </w:rPr>
      </w:pPr>
      <w:r w:rsidRPr="0064332A">
        <w:rPr>
          <w:rFonts w:ascii="Arial" w:hAnsi="Arial" w:cs="Arial"/>
          <w:sz w:val="24"/>
          <w:szCs w:val="24"/>
        </w:rPr>
        <w:fldChar w:fldCharType="begin"/>
      </w:r>
      <w:r w:rsidRPr="0064332A">
        <w:rPr>
          <w:rFonts w:ascii="Arial" w:hAnsi="Arial" w:cs="Arial"/>
          <w:sz w:val="24"/>
          <w:szCs w:val="24"/>
        </w:rPr>
        <w:instrText xml:space="preserve"> DATE  \@ "dddd, dd' de 'MMMM' de 'yyyy"  \* MERGEFORMAT </w:instrText>
      </w:r>
      <w:r w:rsidRPr="0064332A">
        <w:rPr>
          <w:rFonts w:ascii="Arial" w:hAnsi="Arial" w:cs="Arial"/>
          <w:sz w:val="24"/>
          <w:szCs w:val="24"/>
        </w:rPr>
        <w:fldChar w:fldCharType="separate"/>
      </w:r>
      <w:r w:rsidR="001C2C75">
        <w:rPr>
          <w:rFonts w:ascii="Arial" w:hAnsi="Arial" w:cs="Arial"/>
          <w:noProof/>
          <w:sz w:val="24"/>
          <w:szCs w:val="24"/>
        </w:rPr>
        <w:t>lunes, 31 de octubre de 2016</w:t>
      </w:r>
      <w:r w:rsidRPr="0064332A">
        <w:rPr>
          <w:rFonts w:ascii="Arial" w:hAnsi="Arial" w:cs="Arial"/>
          <w:sz w:val="24"/>
          <w:szCs w:val="24"/>
        </w:rPr>
        <w:fldChar w:fldCharType="end"/>
      </w:r>
    </w:p>
    <w:p w:rsidR="00F75C30" w:rsidRPr="0064332A" w:rsidRDefault="00F75C30" w:rsidP="006F7467">
      <w:pPr>
        <w:spacing w:after="0" w:line="240" w:lineRule="auto"/>
        <w:jc w:val="both"/>
        <w:rPr>
          <w:rFonts w:ascii="Arial" w:hAnsi="Arial" w:cs="Arial"/>
          <w:sz w:val="24"/>
          <w:szCs w:val="24"/>
        </w:rPr>
      </w:pPr>
    </w:p>
    <w:p w:rsidR="00F75C30" w:rsidRPr="0064332A" w:rsidRDefault="00F75C30" w:rsidP="006F7467">
      <w:pPr>
        <w:spacing w:after="0" w:line="240" w:lineRule="auto"/>
        <w:jc w:val="both"/>
        <w:rPr>
          <w:rFonts w:ascii="Arial" w:hAnsi="Arial" w:cs="Arial"/>
          <w:sz w:val="24"/>
          <w:szCs w:val="24"/>
        </w:rPr>
      </w:pPr>
    </w:p>
    <w:p w:rsidR="00F75C30" w:rsidRPr="0064332A" w:rsidRDefault="0064332A" w:rsidP="006F7467">
      <w:pPr>
        <w:spacing w:after="0" w:line="240" w:lineRule="auto"/>
        <w:jc w:val="both"/>
        <w:rPr>
          <w:rFonts w:ascii="Arial" w:hAnsi="Arial" w:cs="Arial"/>
          <w:sz w:val="24"/>
          <w:szCs w:val="24"/>
        </w:rPr>
      </w:pPr>
      <w:proofErr w:type="spellStart"/>
      <w:r w:rsidRPr="0064332A">
        <w:rPr>
          <w:rFonts w:ascii="Arial" w:hAnsi="Arial" w:cs="Arial"/>
          <w:sz w:val="24"/>
          <w:szCs w:val="24"/>
        </w:rPr>
        <w:t>Hon</w:t>
      </w:r>
      <w:proofErr w:type="spellEnd"/>
      <w:r w:rsidRPr="0064332A">
        <w:rPr>
          <w:rFonts w:ascii="Arial" w:hAnsi="Arial" w:cs="Arial"/>
          <w:sz w:val="24"/>
          <w:szCs w:val="24"/>
        </w:rPr>
        <w:t>. Víctor A. Suárez Meléndez</w:t>
      </w:r>
    </w:p>
    <w:p w:rsidR="00F75C30" w:rsidRPr="0064332A" w:rsidRDefault="0064332A" w:rsidP="006F7467">
      <w:pPr>
        <w:spacing w:after="0" w:line="240" w:lineRule="auto"/>
        <w:jc w:val="both"/>
        <w:rPr>
          <w:rFonts w:ascii="Arial" w:hAnsi="Arial" w:cs="Arial"/>
          <w:sz w:val="24"/>
          <w:szCs w:val="24"/>
        </w:rPr>
      </w:pPr>
      <w:r w:rsidRPr="0064332A">
        <w:rPr>
          <w:rFonts w:ascii="Arial" w:hAnsi="Arial" w:cs="Arial"/>
          <w:sz w:val="24"/>
          <w:szCs w:val="24"/>
        </w:rPr>
        <w:t>Secretario de Estado</w:t>
      </w:r>
    </w:p>
    <w:p w:rsidR="0064332A" w:rsidRPr="0064332A" w:rsidRDefault="0064332A" w:rsidP="006F7467">
      <w:pPr>
        <w:spacing w:after="0" w:line="240" w:lineRule="auto"/>
        <w:jc w:val="both"/>
        <w:rPr>
          <w:rFonts w:ascii="Arial" w:hAnsi="Arial" w:cs="Arial"/>
          <w:sz w:val="24"/>
          <w:szCs w:val="24"/>
        </w:rPr>
      </w:pPr>
      <w:r w:rsidRPr="0064332A">
        <w:rPr>
          <w:rFonts w:ascii="Arial" w:hAnsi="Arial" w:cs="Arial"/>
          <w:sz w:val="24"/>
          <w:szCs w:val="24"/>
        </w:rPr>
        <w:t xml:space="preserve">VÍA PORTAL WEB DE </w:t>
      </w:r>
    </w:p>
    <w:p w:rsidR="00F75C30" w:rsidRPr="0064332A" w:rsidRDefault="0064332A" w:rsidP="006F7467">
      <w:pPr>
        <w:spacing w:after="0" w:line="240" w:lineRule="auto"/>
        <w:jc w:val="both"/>
        <w:rPr>
          <w:rFonts w:ascii="Arial" w:hAnsi="Arial" w:cs="Arial"/>
          <w:sz w:val="24"/>
          <w:szCs w:val="24"/>
        </w:rPr>
      </w:pPr>
      <w:r w:rsidRPr="0064332A">
        <w:rPr>
          <w:rFonts w:ascii="Arial" w:hAnsi="Arial" w:cs="Arial"/>
          <w:sz w:val="24"/>
          <w:szCs w:val="24"/>
        </w:rPr>
        <w:t>TRANSICIÓN GUBERNAMENTAL</w:t>
      </w:r>
    </w:p>
    <w:p w:rsidR="00F75C30" w:rsidRPr="0064332A" w:rsidRDefault="00F75C30" w:rsidP="006F7467">
      <w:pPr>
        <w:spacing w:after="0" w:line="240" w:lineRule="auto"/>
        <w:jc w:val="both"/>
        <w:rPr>
          <w:rFonts w:ascii="Arial" w:hAnsi="Arial" w:cs="Arial"/>
          <w:sz w:val="24"/>
          <w:szCs w:val="24"/>
        </w:rPr>
      </w:pPr>
    </w:p>
    <w:p w:rsidR="00F75C30" w:rsidRPr="0064332A" w:rsidRDefault="00F75C30" w:rsidP="006F7467">
      <w:pPr>
        <w:spacing w:after="0" w:line="240" w:lineRule="auto"/>
        <w:jc w:val="both"/>
        <w:rPr>
          <w:rFonts w:ascii="Arial" w:hAnsi="Arial" w:cs="Arial"/>
          <w:sz w:val="24"/>
          <w:szCs w:val="24"/>
        </w:rPr>
      </w:pPr>
    </w:p>
    <w:p w:rsidR="00F75C30" w:rsidRPr="0064332A" w:rsidRDefault="00F75C30" w:rsidP="00F75C30">
      <w:pPr>
        <w:spacing w:after="0" w:line="240" w:lineRule="auto"/>
        <w:rPr>
          <w:rFonts w:ascii="Arial" w:hAnsi="Arial" w:cs="Arial"/>
          <w:b/>
          <w:sz w:val="24"/>
          <w:szCs w:val="24"/>
          <w:lang w:val="es-ES"/>
        </w:rPr>
      </w:pPr>
      <w:r w:rsidRPr="0064332A">
        <w:rPr>
          <w:rFonts w:ascii="Arial" w:hAnsi="Arial" w:cs="Arial"/>
          <w:b/>
          <w:sz w:val="24"/>
          <w:szCs w:val="24"/>
          <w:lang w:val="es-ES"/>
        </w:rPr>
        <w:t xml:space="preserve">Referencia: </w:t>
      </w:r>
      <w:r w:rsidR="0064332A">
        <w:rPr>
          <w:rFonts w:ascii="Arial" w:hAnsi="Arial" w:cs="Arial"/>
          <w:b/>
          <w:sz w:val="24"/>
          <w:szCs w:val="24"/>
          <w:lang w:val="es-ES"/>
        </w:rPr>
        <w:tab/>
      </w:r>
      <w:r w:rsidRPr="0064332A">
        <w:rPr>
          <w:rFonts w:ascii="Arial" w:hAnsi="Arial" w:cs="Arial"/>
          <w:b/>
          <w:sz w:val="24"/>
          <w:szCs w:val="24"/>
          <w:lang w:val="es-ES"/>
        </w:rPr>
        <w:tab/>
      </w:r>
      <w:r w:rsidR="0064332A" w:rsidRPr="0064332A">
        <w:rPr>
          <w:rFonts w:ascii="Arial" w:hAnsi="Arial" w:cs="Arial"/>
          <w:b/>
          <w:sz w:val="24"/>
          <w:szCs w:val="24"/>
          <w:lang w:val="es-ES"/>
        </w:rPr>
        <w:t>Informe de Transición Gubernamental, 2016-2017</w:t>
      </w:r>
    </w:p>
    <w:p w:rsidR="00F75C30" w:rsidRPr="0064332A" w:rsidRDefault="00F75C30" w:rsidP="00F75C30">
      <w:pPr>
        <w:spacing w:after="0" w:line="240" w:lineRule="auto"/>
        <w:jc w:val="both"/>
        <w:rPr>
          <w:rFonts w:ascii="Arial" w:hAnsi="Arial" w:cs="Arial"/>
          <w:sz w:val="24"/>
          <w:szCs w:val="24"/>
          <w:lang w:val="es-ES"/>
        </w:rPr>
      </w:pPr>
    </w:p>
    <w:p w:rsidR="00F75C30" w:rsidRPr="0064332A" w:rsidRDefault="00F75C30" w:rsidP="00F75C30">
      <w:pPr>
        <w:spacing w:after="0" w:line="240" w:lineRule="auto"/>
        <w:jc w:val="center"/>
        <w:rPr>
          <w:rFonts w:ascii="Arial" w:hAnsi="Arial" w:cs="Arial"/>
          <w:sz w:val="24"/>
          <w:szCs w:val="24"/>
          <w:lang w:val="es-ES"/>
        </w:rPr>
      </w:pPr>
    </w:p>
    <w:p w:rsidR="00F75C30" w:rsidRPr="0064332A" w:rsidRDefault="00F75C30" w:rsidP="00F75C30">
      <w:pPr>
        <w:spacing w:after="0" w:line="240" w:lineRule="auto"/>
        <w:rPr>
          <w:rFonts w:ascii="Arial" w:hAnsi="Arial" w:cs="Arial"/>
          <w:b/>
          <w:sz w:val="24"/>
          <w:szCs w:val="24"/>
          <w:lang w:val="es-ES"/>
        </w:rPr>
      </w:pPr>
      <w:r w:rsidRPr="0064332A">
        <w:rPr>
          <w:rFonts w:ascii="Arial" w:hAnsi="Arial" w:cs="Arial"/>
          <w:b/>
          <w:sz w:val="24"/>
          <w:szCs w:val="24"/>
          <w:lang w:val="es-ES"/>
        </w:rPr>
        <w:t>Asunto:</w:t>
      </w:r>
      <w:r w:rsidRPr="0064332A">
        <w:rPr>
          <w:rFonts w:ascii="Arial" w:hAnsi="Arial" w:cs="Arial"/>
          <w:b/>
          <w:sz w:val="24"/>
          <w:szCs w:val="24"/>
          <w:lang w:val="es-ES"/>
        </w:rPr>
        <w:tab/>
      </w:r>
      <w:r w:rsidRPr="0064332A">
        <w:rPr>
          <w:rFonts w:ascii="Arial" w:hAnsi="Arial" w:cs="Arial"/>
          <w:b/>
          <w:sz w:val="24"/>
          <w:szCs w:val="24"/>
          <w:lang w:val="es-ES"/>
        </w:rPr>
        <w:tab/>
      </w:r>
      <w:r w:rsidR="0064332A" w:rsidRPr="0064332A">
        <w:rPr>
          <w:rFonts w:ascii="Arial" w:hAnsi="Arial" w:cs="Arial"/>
          <w:b/>
          <w:sz w:val="24"/>
          <w:szCs w:val="24"/>
          <w:lang w:val="es-ES"/>
        </w:rPr>
        <w:t>Ponencia</w:t>
      </w:r>
    </w:p>
    <w:p w:rsidR="00F75C30" w:rsidRPr="0064332A" w:rsidRDefault="00F75C30" w:rsidP="006F7467">
      <w:pPr>
        <w:spacing w:after="0" w:line="240" w:lineRule="auto"/>
        <w:jc w:val="both"/>
        <w:rPr>
          <w:rFonts w:ascii="Arial" w:hAnsi="Arial" w:cs="Arial"/>
          <w:sz w:val="24"/>
          <w:szCs w:val="24"/>
        </w:rPr>
      </w:pPr>
    </w:p>
    <w:p w:rsidR="00F75C30" w:rsidRPr="0064332A" w:rsidRDefault="00F75C30" w:rsidP="006F7467">
      <w:pPr>
        <w:spacing w:after="0" w:line="240" w:lineRule="auto"/>
        <w:jc w:val="both"/>
        <w:rPr>
          <w:rFonts w:ascii="Arial" w:hAnsi="Arial" w:cs="Arial"/>
          <w:sz w:val="24"/>
          <w:szCs w:val="24"/>
        </w:rPr>
      </w:pPr>
    </w:p>
    <w:p w:rsidR="00BC2B34" w:rsidRPr="0064332A" w:rsidRDefault="0064332A" w:rsidP="00F75C30">
      <w:pPr>
        <w:spacing w:after="0" w:line="240" w:lineRule="auto"/>
        <w:jc w:val="both"/>
        <w:rPr>
          <w:rFonts w:ascii="Arial" w:hAnsi="Arial" w:cs="Arial"/>
          <w:noProof/>
          <w:sz w:val="24"/>
          <w:szCs w:val="24"/>
        </w:rPr>
      </w:pPr>
      <w:r>
        <w:rPr>
          <w:rFonts w:ascii="Arial" w:hAnsi="Arial" w:cs="Arial"/>
          <w:noProof/>
          <w:sz w:val="24"/>
          <w:szCs w:val="24"/>
        </w:rPr>
        <w:t>Hon. Secretario Suárez Meléndez</w:t>
      </w:r>
      <w:r w:rsidR="00F75C30" w:rsidRPr="0064332A">
        <w:rPr>
          <w:rFonts w:ascii="Arial" w:hAnsi="Arial" w:cs="Arial"/>
          <w:noProof/>
          <w:sz w:val="24"/>
          <w:szCs w:val="24"/>
        </w:rPr>
        <w:t>,</w:t>
      </w:r>
    </w:p>
    <w:p w:rsidR="00F75C30" w:rsidRPr="0064332A" w:rsidRDefault="00F75C30" w:rsidP="00F75C30">
      <w:pPr>
        <w:spacing w:after="0" w:line="240" w:lineRule="auto"/>
        <w:jc w:val="both"/>
        <w:rPr>
          <w:rFonts w:ascii="Arial" w:hAnsi="Arial" w:cs="Arial"/>
          <w:noProof/>
          <w:sz w:val="24"/>
          <w:szCs w:val="24"/>
        </w:rPr>
      </w:pPr>
    </w:p>
    <w:p w:rsidR="00F04366" w:rsidRPr="00F04366" w:rsidRDefault="00F04366" w:rsidP="00F04366">
      <w:pPr>
        <w:spacing w:after="0"/>
        <w:ind w:firstLine="720"/>
        <w:jc w:val="both"/>
        <w:rPr>
          <w:rFonts w:ascii="Arial" w:hAnsi="Arial" w:cs="Arial"/>
          <w:noProof/>
          <w:sz w:val="24"/>
          <w:szCs w:val="24"/>
          <w:lang w:val="es-US"/>
        </w:rPr>
      </w:pPr>
      <w:r w:rsidRPr="00F04366">
        <w:rPr>
          <w:rFonts w:ascii="Arial" w:hAnsi="Arial" w:cs="Arial"/>
          <w:noProof/>
          <w:sz w:val="24"/>
          <w:szCs w:val="24"/>
          <w:lang w:val="es-US"/>
        </w:rPr>
        <w:t xml:space="preserve">Temprano en la decada de los noventa, tanto la Ley 20-1992, como el Plan de Desarrollo Integral para la Península de Cantera viabilizaron la creación </w:t>
      </w:r>
      <w:r>
        <w:rPr>
          <w:rFonts w:ascii="Arial" w:hAnsi="Arial" w:cs="Arial"/>
          <w:noProof/>
          <w:sz w:val="24"/>
          <w:szCs w:val="24"/>
          <w:lang w:val="es-US"/>
        </w:rPr>
        <w:t>d</w:t>
      </w:r>
      <w:r w:rsidRPr="00F04366">
        <w:rPr>
          <w:rFonts w:ascii="Arial" w:hAnsi="Arial" w:cs="Arial"/>
          <w:noProof/>
          <w:sz w:val="24"/>
          <w:szCs w:val="24"/>
          <w:lang w:val="es-US"/>
        </w:rPr>
        <w:t>el Proyecto Península de Cantera, como un tríptico en el que integraba a la comunidad, al Estado, y a la Empresa Privada. Esto, al (1) reconocer al “</w:t>
      </w:r>
      <w:r w:rsidRPr="00F04366">
        <w:rPr>
          <w:rFonts w:ascii="Arial" w:hAnsi="Arial" w:cs="Arial"/>
          <w:i/>
          <w:noProof/>
          <w:sz w:val="24"/>
          <w:szCs w:val="24"/>
          <w:lang w:val="es-US"/>
        </w:rPr>
        <w:t>Consejo Vecinal Pro-Desarrollo de Cantera</w:t>
      </w:r>
      <w:r w:rsidRPr="00F04366">
        <w:rPr>
          <w:rFonts w:ascii="Arial" w:hAnsi="Arial" w:cs="Arial"/>
          <w:noProof/>
          <w:sz w:val="24"/>
          <w:szCs w:val="24"/>
          <w:lang w:val="es-US"/>
        </w:rPr>
        <w:t xml:space="preserve">” como una organización sin fines de lucro compuesta por residentes de la Península de Cantera, con el objetivo de promover la iniciativa comunitaria, la auto-gestión y la participación de residentes en el proceso de planificación y desarrollo; (2) crear la </w:t>
      </w:r>
      <w:r w:rsidRPr="00F04366">
        <w:rPr>
          <w:rFonts w:ascii="Arial" w:hAnsi="Arial" w:cs="Arial"/>
          <w:i/>
          <w:noProof/>
          <w:sz w:val="24"/>
          <w:szCs w:val="24"/>
          <w:lang w:val="es-US"/>
        </w:rPr>
        <w:t>Compañía para el Desarrollo Integral de la Península de Cantera</w:t>
      </w:r>
      <w:r w:rsidRPr="00F04366">
        <w:rPr>
          <w:rFonts w:ascii="Arial" w:hAnsi="Arial" w:cs="Arial"/>
          <w:noProof/>
          <w:sz w:val="24"/>
          <w:szCs w:val="24"/>
          <w:lang w:val="es-US"/>
        </w:rPr>
        <w:t>, una corporación pública con la función de coordinar la gestión pública, estimular la iniciativa privada y envolver a la ciudadanía en un proceso de desarrollo integral que beneficie a los residentes actuales y futuros de la Comunidad; y (3) afirmar la necesidad de que organizaciones de base comunitaria, como “</w:t>
      </w:r>
      <w:r w:rsidRPr="00F04366">
        <w:rPr>
          <w:rFonts w:ascii="Arial" w:hAnsi="Arial" w:cs="Arial"/>
          <w:i/>
          <w:noProof/>
          <w:sz w:val="24"/>
          <w:szCs w:val="24"/>
          <w:lang w:val="es-US"/>
        </w:rPr>
        <w:t>Apoyo Empresarial para la Peninsula de Cantera, Inc.</w:t>
      </w:r>
      <w:r w:rsidRPr="00F04366">
        <w:rPr>
          <w:rFonts w:ascii="Arial" w:hAnsi="Arial" w:cs="Arial"/>
          <w:noProof/>
          <w:sz w:val="24"/>
          <w:szCs w:val="24"/>
          <w:lang w:val="es-US"/>
        </w:rPr>
        <w:t>” canalicen fondos restringidos al sector privado y de programas federales a proyectos comunitarios, para viabilizar el desarrollo y financiamiento de vivienda y la promocion de actividad economica, sin depender estrictamente del gobierno central.</w:t>
      </w:r>
    </w:p>
    <w:p w:rsidR="00F04366" w:rsidRPr="00F04366" w:rsidRDefault="00F04366" w:rsidP="00F04366">
      <w:pPr>
        <w:spacing w:after="0"/>
        <w:ind w:firstLine="720"/>
        <w:jc w:val="both"/>
        <w:rPr>
          <w:rFonts w:ascii="Arial" w:hAnsi="Arial" w:cs="Arial"/>
          <w:noProof/>
          <w:sz w:val="24"/>
          <w:szCs w:val="24"/>
          <w:lang w:val="es-US"/>
        </w:rPr>
      </w:pPr>
    </w:p>
    <w:p w:rsidR="00F04366" w:rsidRPr="00F04366" w:rsidRDefault="00F04366" w:rsidP="00F04366">
      <w:pPr>
        <w:spacing w:after="0"/>
        <w:ind w:firstLine="720"/>
        <w:jc w:val="both"/>
        <w:rPr>
          <w:rFonts w:ascii="Arial" w:hAnsi="Arial" w:cs="Arial"/>
          <w:noProof/>
          <w:sz w:val="24"/>
          <w:szCs w:val="24"/>
          <w:lang w:val="es-US"/>
        </w:rPr>
      </w:pPr>
      <w:r w:rsidRPr="00F04366">
        <w:rPr>
          <w:rFonts w:ascii="Arial" w:hAnsi="Arial" w:cs="Arial"/>
          <w:noProof/>
          <w:sz w:val="24"/>
          <w:szCs w:val="24"/>
          <w:lang w:val="es-US"/>
        </w:rPr>
        <w:t xml:space="preserve">Este andamiaje, reconocía que la </w:t>
      </w:r>
      <w:r w:rsidRPr="00F04366">
        <w:rPr>
          <w:rFonts w:ascii="Arial" w:hAnsi="Arial" w:cs="Arial"/>
          <w:i/>
          <w:noProof/>
          <w:sz w:val="24"/>
          <w:szCs w:val="24"/>
          <w:lang w:val="es-US"/>
        </w:rPr>
        <w:t>Compañía para el Desarrollo Integral de la Península de Cantera</w:t>
      </w:r>
      <w:r w:rsidRPr="00F04366">
        <w:rPr>
          <w:rFonts w:ascii="Arial" w:hAnsi="Arial" w:cs="Arial"/>
          <w:noProof/>
          <w:sz w:val="24"/>
          <w:szCs w:val="24"/>
          <w:lang w:val="es-US"/>
        </w:rPr>
        <w:t xml:space="preserve"> sería una corporación pública con una vida limitada de 20 años.  Este término vencía el 11 de julio de 2012. Por esto, el entonces Hon. Gobernador Luis G. Fortuño Burset firmó una orden ejecutiva que extendía la vida de la Compañía por periodo de un año, hasta el 11 de julio de 2013.</w:t>
      </w:r>
    </w:p>
    <w:p w:rsidR="00F04366" w:rsidRPr="00F04366" w:rsidRDefault="00F04366" w:rsidP="00F04366">
      <w:pPr>
        <w:spacing w:after="0"/>
        <w:ind w:firstLine="720"/>
        <w:jc w:val="both"/>
        <w:rPr>
          <w:rFonts w:ascii="Arial" w:hAnsi="Arial" w:cs="Arial"/>
          <w:noProof/>
          <w:sz w:val="24"/>
          <w:szCs w:val="24"/>
          <w:lang w:val="es-US"/>
        </w:rPr>
      </w:pPr>
    </w:p>
    <w:p w:rsidR="00F04366" w:rsidRPr="00F04366" w:rsidRDefault="00F04366" w:rsidP="00F04366">
      <w:pPr>
        <w:spacing w:after="0"/>
        <w:ind w:firstLine="720"/>
        <w:jc w:val="both"/>
        <w:rPr>
          <w:rFonts w:ascii="Arial" w:hAnsi="Arial" w:cs="Arial"/>
          <w:noProof/>
          <w:sz w:val="24"/>
          <w:szCs w:val="24"/>
          <w:lang w:val="es-US"/>
        </w:rPr>
      </w:pPr>
      <w:r w:rsidRPr="00F04366">
        <w:rPr>
          <w:rFonts w:ascii="Arial" w:hAnsi="Arial" w:cs="Arial"/>
          <w:noProof/>
          <w:sz w:val="24"/>
          <w:szCs w:val="24"/>
          <w:lang w:val="es-US"/>
        </w:rPr>
        <w:lastRenderedPageBreak/>
        <w:t xml:space="preserve">Así las cosas, 28 de abril de 2013, el Hon. Gobernador Alejandro </w:t>
      </w:r>
      <w:r w:rsidR="00716431">
        <w:rPr>
          <w:rFonts w:ascii="Arial" w:hAnsi="Arial" w:cs="Arial"/>
          <w:noProof/>
          <w:sz w:val="24"/>
          <w:szCs w:val="24"/>
          <w:lang w:val="es-US"/>
        </w:rPr>
        <w:t xml:space="preserve">J. </w:t>
      </w:r>
      <w:r w:rsidRPr="00F04366">
        <w:rPr>
          <w:rFonts w:ascii="Arial" w:hAnsi="Arial" w:cs="Arial"/>
          <w:noProof/>
          <w:sz w:val="24"/>
          <w:szCs w:val="24"/>
          <w:lang w:val="es-US"/>
        </w:rPr>
        <w:t>García Padilla visitó la Península de Cantera, acompañado de gran parte de su gabinete de trabajo. En esta visita, el Gobernador tuvo la oportunidad de conocer de primera mano la comunidad, sus necesidades y la obra ejecutada por el Proyecto Península de Cantera, mientras los jefes de agencia participaron del conversatorio entre las Agencias para desarrollar compromisos entre la Comunidad, La Compañía y éstas.</w:t>
      </w:r>
    </w:p>
    <w:p w:rsidR="00F04366" w:rsidRPr="00F04366" w:rsidRDefault="00F04366" w:rsidP="00F04366">
      <w:pPr>
        <w:spacing w:after="0"/>
        <w:ind w:firstLine="720"/>
        <w:jc w:val="both"/>
        <w:rPr>
          <w:rFonts w:ascii="Arial" w:hAnsi="Arial" w:cs="Arial"/>
          <w:noProof/>
          <w:sz w:val="24"/>
          <w:szCs w:val="24"/>
          <w:lang w:val="es-US"/>
        </w:rPr>
      </w:pPr>
    </w:p>
    <w:p w:rsidR="00D04F9D" w:rsidRDefault="00F04366" w:rsidP="00D04F9D">
      <w:pPr>
        <w:spacing w:after="0"/>
        <w:ind w:firstLine="720"/>
        <w:jc w:val="both"/>
        <w:rPr>
          <w:rFonts w:ascii="Arial" w:hAnsi="Arial" w:cs="Arial"/>
          <w:noProof/>
          <w:sz w:val="24"/>
          <w:szCs w:val="24"/>
          <w:lang w:val="es-US"/>
        </w:rPr>
      </w:pPr>
      <w:r w:rsidRPr="00F04366">
        <w:rPr>
          <w:rFonts w:ascii="Arial" w:hAnsi="Arial" w:cs="Arial"/>
          <w:noProof/>
          <w:sz w:val="24"/>
          <w:szCs w:val="24"/>
          <w:lang w:val="es-US"/>
        </w:rPr>
        <w:t xml:space="preserve">En la fecha referida, el Gobernador firmó la orden ejecutiva OE-2013-31 que extiendió la vida de La Compañía por un periodo adicional de 3 años, y firmó la recomendación a ambos cuerpos legislativos para que aprobaran un proyecto de ley que extendería la vida de La Compañía por 20 años. El resultado de esta acción fue la aprobación, el 6 de julio de 2013, la Ley 53-2013, que enmienda la Ley 20-1992. Los efectos más significativos son; no solo el extender la vida de la Compañía, sino también fomentar el fortalecimiento de las Organizaciones Comunitarias llamadas a continuar con las obras luego del cese de la </w:t>
      </w:r>
      <w:r w:rsidR="001C2C75">
        <w:rPr>
          <w:rFonts w:ascii="Arial" w:hAnsi="Arial" w:cs="Arial"/>
          <w:noProof/>
          <w:sz w:val="24"/>
          <w:szCs w:val="24"/>
          <w:lang w:val="es-US"/>
        </w:rPr>
        <w:t>CDIPC</w:t>
      </w:r>
      <w:r w:rsidRPr="00F04366">
        <w:rPr>
          <w:rFonts w:ascii="Arial" w:hAnsi="Arial" w:cs="Arial"/>
          <w:noProof/>
          <w:sz w:val="24"/>
          <w:szCs w:val="24"/>
          <w:lang w:val="es-US"/>
        </w:rPr>
        <w:t xml:space="preserve"> y entre otras.</w:t>
      </w:r>
      <w:r w:rsidR="00D04F9D">
        <w:rPr>
          <w:rFonts w:ascii="Arial" w:hAnsi="Arial" w:cs="Arial"/>
          <w:noProof/>
          <w:sz w:val="24"/>
          <w:szCs w:val="24"/>
          <w:lang w:val="es-US"/>
        </w:rPr>
        <w:t xml:space="preserve"> </w:t>
      </w:r>
      <w:r w:rsidR="00CD2E7D">
        <w:rPr>
          <w:rFonts w:ascii="Arial" w:hAnsi="Arial" w:cs="Arial"/>
          <w:noProof/>
          <w:sz w:val="24"/>
          <w:szCs w:val="24"/>
          <w:lang w:val="es-US"/>
        </w:rPr>
        <w:t xml:space="preserve">En vista de </w:t>
      </w:r>
      <w:r w:rsidR="00D04F9D">
        <w:rPr>
          <w:rFonts w:ascii="Arial" w:hAnsi="Arial" w:cs="Arial"/>
          <w:noProof/>
          <w:sz w:val="24"/>
          <w:szCs w:val="24"/>
          <w:lang w:val="es-US"/>
        </w:rPr>
        <w:t>estos cambios, la condició</w:t>
      </w:r>
      <w:r w:rsidR="00CD2E7D">
        <w:rPr>
          <w:rFonts w:ascii="Arial" w:hAnsi="Arial" w:cs="Arial"/>
          <w:noProof/>
          <w:sz w:val="24"/>
          <w:szCs w:val="24"/>
          <w:lang w:val="es-US"/>
        </w:rPr>
        <w:t>n de aus</w:t>
      </w:r>
      <w:r w:rsidR="00D04F9D">
        <w:rPr>
          <w:rFonts w:ascii="Arial" w:hAnsi="Arial" w:cs="Arial"/>
          <w:noProof/>
          <w:sz w:val="24"/>
          <w:szCs w:val="24"/>
          <w:lang w:val="es-US"/>
        </w:rPr>
        <w:t xml:space="preserve">teridad general del país, y </w:t>
      </w:r>
      <w:r w:rsidR="00D04F9D" w:rsidRPr="00D04F9D">
        <w:rPr>
          <w:rFonts w:ascii="Arial" w:hAnsi="Arial" w:cs="Arial"/>
          <w:noProof/>
          <w:sz w:val="24"/>
          <w:szCs w:val="24"/>
          <w:lang w:val="es-US"/>
        </w:rPr>
        <w:t>tras la construcción de más de 300 unidades de vivienda, la puesta en función de un innovador sistema sanitario de vacío y el desarrollo del Paseo Lineal en el litoral de</w:t>
      </w:r>
      <w:r w:rsidR="00D04F9D">
        <w:rPr>
          <w:rFonts w:ascii="Arial" w:hAnsi="Arial" w:cs="Arial"/>
          <w:noProof/>
          <w:sz w:val="24"/>
          <w:szCs w:val="24"/>
          <w:lang w:val="es-US"/>
        </w:rPr>
        <w:t xml:space="preserve"> la Laguna, la Compañía redirigió</w:t>
      </w:r>
      <w:r w:rsidR="00D04F9D" w:rsidRPr="00D04F9D">
        <w:rPr>
          <w:rFonts w:ascii="Arial" w:hAnsi="Arial" w:cs="Arial"/>
          <w:noProof/>
          <w:sz w:val="24"/>
          <w:szCs w:val="24"/>
          <w:lang w:val="es-US"/>
        </w:rPr>
        <w:t xml:space="preserve"> sus recursos y esfuerzos a fortalecer </w:t>
      </w:r>
      <w:r w:rsidR="00D04F9D">
        <w:rPr>
          <w:rFonts w:ascii="Arial" w:hAnsi="Arial" w:cs="Arial"/>
          <w:noProof/>
          <w:sz w:val="24"/>
          <w:szCs w:val="24"/>
          <w:lang w:val="es-US"/>
        </w:rPr>
        <w:t xml:space="preserve">nuestros ciudadanos, </w:t>
      </w:r>
      <w:r w:rsidR="00D04F9D" w:rsidRPr="00D04F9D">
        <w:rPr>
          <w:rFonts w:ascii="Arial" w:hAnsi="Arial" w:cs="Arial"/>
          <w:noProof/>
          <w:sz w:val="24"/>
          <w:szCs w:val="24"/>
          <w:lang w:val="es-US"/>
        </w:rPr>
        <w:t>las organizaciones y su liderato.</w:t>
      </w:r>
    </w:p>
    <w:p w:rsidR="00B346E1" w:rsidRDefault="00B346E1" w:rsidP="00D04F9D">
      <w:pPr>
        <w:spacing w:after="0"/>
        <w:ind w:firstLine="720"/>
        <w:jc w:val="both"/>
        <w:rPr>
          <w:rFonts w:ascii="Arial" w:hAnsi="Arial" w:cs="Arial"/>
          <w:noProof/>
          <w:sz w:val="24"/>
          <w:szCs w:val="24"/>
          <w:lang w:val="es-US"/>
        </w:rPr>
      </w:pPr>
    </w:p>
    <w:p w:rsidR="00B346E1" w:rsidRDefault="00B346E1" w:rsidP="00D04F9D">
      <w:pPr>
        <w:spacing w:after="0"/>
        <w:ind w:firstLine="720"/>
        <w:jc w:val="both"/>
        <w:rPr>
          <w:rFonts w:ascii="Arial" w:hAnsi="Arial" w:cs="Arial"/>
          <w:noProof/>
          <w:sz w:val="24"/>
          <w:szCs w:val="24"/>
          <w:lang w:val="es-US"/>
        </w:rPr>
      </w:pPr>
      <w:r>
        <w:rPr>
          <w:rFonts w:ascii="Arial" w:hAnsi="Arial" w:cs="Arial"/>
          <w:noProof/>
          <w:sz w:val="24"/>
          <w:szCs w:val="24"/>
          <w:lang w:val="es-US"/>
        </w:rPr>
        <w:t>Por esto, hemos puesto especial atencion en desarrollar programas educativos</w:t>
      </w:r>
      <w:r w:rsidR="00C22E73">
        <w:rPr>
          <w:rFonts w:ascii="Arial" w:hAnsi="Arial" w:cs="Arial"/>
          <w:noProof/>
          <w:sz w:val="24"/>
          <w:szCs w:val="24"/>
          <w:lang w:val="es-US"/>
        </w:rPr>
        <w:t>, recreativos</w:t>
      </w:r>
      <w:r>
        <w:rPr>
          <w:rFonts w:ascii="Arial" w:hAnsi="Arial" w:cs="Arial"/>
          <w:noProof/>
          <w:sz w:val="24"/>
          <w:szCs w:val="24"/>
          <w:lang w:val="es-US"/>
        </w:rPr>
        <w:t>,</w:t>
      </w:r>
      <w:r w:rsidR="00C22E73">
        <w:rPr>
          <w:rFonts w:ascii="Arial" w:hAnsi="Arial" w:cs="Arial"/>
          <w:noProof/>
          <w:sz w:val="24"/>
          <w:szCs w:val="24"/>
          <w:lang w:val="es-US"/>
        </w:rPr>
        <w:t xml:space="preserve"> empresariales y de organización comunitaria</w:t>
      </w:r>
      <w:r>
        <w:rPr>
          <w:rFonts w:ascii="Arial" w:hAnsi="Arial" w:cs="Arial"/>
          <w:noProof/>
          <w:sz w:val="24"/>
          <w:szCs w:val="24"/>
          <w:lang w:val="es-US"/>
        </w:rPr>
        <w:t xml:space="preserve"> sostenibles, que mejoren</w:t>
      </w:r>
      <w:r w:rsidR="00C22E73">
        <w:rPr>
          <w:rFonts w:ascii="Arial" w:hAnsi="Arial" w:cs="Arial"/>
          <w:noProof/>
          <w:sz w:val="24"/>
          <w:szCs w:val="24"/>
          <w:lang w:val="es-US"/>
        </w:rPr>
        <w:t xml:space="preserve"> la capacidad y competitividad de nuestros constituyentes</w:t>
      </w:r>
      <w:r w:rsidR="001C2C75">
        <w:rPr>
          <w:rFonts w:ascii="Arial" w:hAnsi="Arial" w:cs="Arial"/>
          <w:noProof/>
          <w:sz w:val="24"/>
          <w:szCs w:val="24"/>
          <w:lang w:val="es-US"/>
        </w:rPr>
        <w:t xml:space="preserve"> a la vez que buscan la continuidad de los servicios de manera independiente</w:t>
      </w:r>
      <w:r w:rsidR="00C22E73">
        <w:rPr>
          <w:rFonts w:ascii="Arial" w:hAnsi="Arial" w:cs="Arial"/>
          <w:noProof/>
          <w:sz w:val="24"/>
          <w:szCs w:val="24"/>
          <w:lang w:val="es-US"/>
        </w:rPr>
        <w:t>.</w:t>
      </w:r>
    </w:p>
    <w:p w:rsidR="001C2C75" w:rsidRDefault="001C2C75" w:rsidP="00D04F9D">
      <w:pPr>
        <w:spacing w:after="0"/>
        <w:ind w:firstLine="720"/>
        <w:jc w:val="both"/>
        <w:rPr>
          <w:rFonts w:ascii="Arial" w:hAnsi="Arial" w:cs="Arial"/>
          <w:noProof/>
          <w:sz w:val="24"/>
          <w:szCs w:val="24"/>
          <w:lang w:val="es-US"/>
        </w:rPr>
      </w:pP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 xml:space="preserve">Los programas de educación desarrollados en el Proyecto ya han sido delegados a una ONG, </w:t>
      </w:r>
      <w:r>
        <w:rPr>
          <w:rFonts w:ascii="Arial" w:hAnsi="Arial" w:cs="Arial"/>
          <w:i/>
          <w:noProof/>
          <w:sz w:val="24"/>
          <w:szCs w:val="24"/>
          <w:lang w:val="es-US"/>
        </w:rPr>
        <w:t>Apoyo Empresarial para la Pení</w:t>
      </w:r>
      <w:r w:rsidRPr="001C2C75">
        <w:rPr>
          <w:rFonts w:ascii="Arial" w:hAnsi="Arial" w:cs="Arial"/>
          <w:i/>
          <w:noProof/>
          <w:sz w:val="24"/>
          <w:szCs w:val="24"/>
          <w:lang w:val="es-US"/>
        </w:rPr>
        <w:t>nsula de Cantera, Inc.</w:t>
      </w:r>
      <w:r>
        <w:rPr>
          <w:rFonts w:ascii="Arial" w:hAnsi="Arial" w:cs="Arial"/>
          <w:noProof/>
          <w:sz w:val="24"/>
          <w:szCs w:val="24"/>
          <w:lang w:val="es-US"/>
        </w:rPr>
        <w:t xml:space="preserve"> quien opera dos programas que complementan la educacion formal de los jóvenes. Estos programas “</w:t>
      </w:r>
      <w:r w:rsidRPr="001C2C75">
        <w:rPr>
          <w:rFonts w:ascii="Arial" w:hAnsi="Arial" w:cs="Arial"/>
          <w:i/>
          <w:noProof/>
          <w:sz w:val="24"/>
          <w:szCs w:val="24"/>
          <w:lang w:val="es-US"/>
        </w:rPr>
        <w:t>After School</w:t>
      </w:r>
      <w:r>
        <w:rPr>
          <w:rFonts w:ascii="Arial" w:hAnsi="Arial" w:cs="Arial"/>
          <w:noProof/>
          <w:sz w:val="24"/>
          <w:szCs w:val="24"/>
          <w:lang w:val="es-US"/>
        </w:rPr>
        <w:t>” fortalecen las capacidades de liderazgo, académicas, y socio-emocionales de los jovenes de la comunidad de Cantera. Actualmente reciben fondos de fundaciones privadas, donativos legislativos y aportaciones privadas que permiten su operación continua.</w:t>
      </w:r>
    </w:p>
    <w:p w:rsidR="001C2C75" w:rsidRDefault="001C2C75" w:rsidP="00D04F9D">
      <w:pPr>
        <w:spacing w:after="0"/>
        <w:ind w:firstLine="720"/>
        <w:jc w:val="both"/>
        <w:rPr>
          <w:rFonts w:ascii="Arial" w:hAnsi="Arial" w:cs="Arial"/>
          <w:noProof/>
          <w:sz w:val="24"/>
          <w:szCs w:val="24"/>
          <w:lang w:val="es-US"/>
        </w:rPr>
      </w:pP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Los programas de Recreación y Deportes que se levantaron durante este periodo, se encuentran en operación con el apoyo de la CDIPC, que se encuentra fortaleciendo actualmente una organización que ha recibido el aval del Municipio de San Juan para que corra las facilidades deportivas que se encuentran en el Sector Condadito Final. Además, se ha establecido la celebración de una bicicletada familiar alusiva a la conservación ambiental, que varios miembros de la comunidad han asumido coordinar con la ayuda de participantes de la propuesta de AmeriCorps de la CDIPC.</w:t>
      </w:r>
    </w:p>
    <w:p w:rsidR="001C2C75" w:rsidRDefault="001C2C75" w:rsidP="00D04F9D">
      <w:pPr>
        <w:spacing w:after="0"/>
        <w:ind w:firstLine="720"/>
        <w:jc w:val="both"/>
        <w:rPr>
          <w:rFonts w:ascii="Arial" w:hAnsi="Arial" w:cs="Arial"/>
          <w:noProof/>
          <w:sz w:val="24"/>
          <w:szCs w:val="24"/>
          <w:lang w:val="es-US"/>
        </w:rPr>
      </w:pPr>
    </w:p>
    <w:p w:rsidR="001C2C75" w:rsidRPr="001C2C75" w:rsidRDefault="001C2C75" w:rsidP="00D04F9D">
      <w:pPr>
        <w:spacing w:after="0"/>
        <w:ind w:firstLine="720"/>
        <w:jc w:val="both"/>
        <w:rPr>
          <w:rFonts w:ascii="Arial" w:hAnsi="Arial" w:cs="Arial"/>
          <w:i/>
          <w:noProof/>
          <w:sz w:val="24"/>
          <w:szCs w:val="24"/>
          <w:lang w:val="es-US"/>
        </w:rPr>
      </w:pPr>
      <w:r>
        <w:rPr>
          <w:rFonts w:ascii="Arial" w:hAnsi="Arial" w:cs="Arial"/>
          <w:noProof/>
          <w:sz w:val="24"/>
          <w:szCs w:val="24"/>
          <w:lang w:val="es-US"/>
        </w:rPr>
        <w:t>Así pues</w:t>
      </w:r>
      <w:r>
        <w:rPr>
          <w:rFonts w:ascii="Arial" w:hAnsi="Arial" w:cs="Arial"/>
          <w:noProof/>
          <w:sz w:val="24"/>
          <w:szCs w:val="24"/>
          <w:lang w:val="es-US"/>
        </w:rPr>
        <w:t>, obtener resultados que aseguren la continuidad de los servicios que actualmente ofrece la comunidad en ausencia de la CDIPC requiere un compromiso de la admin</w:t>
      </w:r>
      <w:r>
        <w:rPr>
          <w:rFonts w:ascii="Arial" w:hAnsi="Arial" w:cs="Arial"/>
          <w:noProof/>
          <w:sz w:val="24"/>
          <w:szCs w:val="24"/>
          <w:lang w:val="es-US"/>
        </w:rPr>
        <w:t>istració</w:t>
      </w:r>
      <w:r>
        <w:rPr>
          <w:rFonts w:ascii="Arial" w:hAnsi="Arial" w:cs="Arial"/>
          <w:noProof/>
          <w:sz w:val="24"/>
          <w:szCs w:val="24"/>
          <w:lang w:val="es-US"/>
        </w:rPr>
        <w:t>n de la continuidad de la propuesta AmeriCorps.</w:t>
      </w:r>
      <w:r>
        <w:rPr>
          <w:rFonts w:ascii="Arial" w:hAnsi="Arial" w:cs="Arial"/>
          <w:noProof/>
          <w:sz w:val="24"/>
          <w:szCs w:val="24"/>
          <w:lang w:val="es-US"/>
        </w:rPr>
        <w:t xml:space="preserve"> En este ciclo entrante de propuestas, los participantes del programa AmeriCorps estarán desarrollando programas dirigidos a fortalecer las destrezas académicas y la salud de la niñez temprana de los residentes de la Comunidad. Para esto, proponemos la creación de un programa after school adicional, que supliría la necesidad desprovista de fortalecimiento académico para estudiantes de escuela elemental, a la vez que se inserta al niño en actividades extracurriculares deportivas y se añade al currículo educativo un componente de alimentación saludable, a través del </w:t>
      </w:r>
      <w:r>
        <w:rPr>
          <w:rFonts w:ascii="Arial" w:hAnsi="Arial" w:cs="Arial"/>
          <w:i/>
          <w:noProof/>
          <w:sz w:val="24"/>
          <w:szCs w:val="24"/>
          <w:lang w:val="es-US"/>
        </w:rPr>
        <w:t xml:space="preserve">Service Learning </w:t>
      </w:r>
      <w:r>
        <w:rPr>
          <w:rFonts w:ascii="Arial" w:hAnsi="Arial" w:cs="Arial"/>
          <w:noProof/>
          <w:sz w:val="24"/>
          <w:szCs w:val="24"/>
          <w:lang w:val="es-US"/>
        </w:rPr>
        <w:t>en huertos urbanos</w:t>
      </w:r>
      <w:r>
        <w:rPr>
          <w:rFonts w:ascii="Arial" w:hAnsi="Arial" w:cs="Arial"/>
          <w:i/>
          <w:noProof/>
          <w:sz w:val="24"/>
          <w:szCs w:val="24"/>
          <w:lang w:val="es-US"/>
        </w:rPr>
        <w:t>.</w:t>
      </w:r>
    </w:p>
    <w:p w:rsidR="001C2C75" w:rsidRDefault="001C2C75" w:rsidP="00D04F9D">
      <w:pPr>
        <w:spacing w:after="0"/>
        <w:ind w:firstLine="720"/>
        <w:jc w:val="both"/>
        <w:rPr>
          <w:rFonts w:ascii="Arial" w:hAnsi="Arial" w:cs="Arial"/>
          <w:noProof/>
          <w:sz w:val="24"/>
          <w:szCs w:val="24"/>
          <w:lang w:val="es-US"/>
        </w:rPr>
      </w:pP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 xml:space="preserve">De otra parte, las iniciativas para la generación de Empleo y Oportunidades Empresariales son variadas, e incluyen programas de capacitación laboral y empresarial, programas que incluyen experiencias de empleo, así como gestiones empresariales ecoturísticas que coloquen a la Península de Cantera como destino. Las primeras dos iniciativas, los programas de Capacitación Laboral y Empresarial, buscan fortalecer las destrezas de los miembros de la comunidad de Cantera para lograr hacerlos mas competitivos y fomentar la inserción de éstos en una economía regional de mayor escala. Estos programas son administrados desde la CDIPC, y están subvencionados con fondos del Negociado para el Fomento de Oportunidades de Trabajo del DTRH. Aspiramos a desarrollar la capacidad organizacional de </w:t>
      </w:r>
      <w:r w:rsidRPr="001C2C75">
        <w:rPr>
          <w:rFonts w:ascii="Arial" w:hAnsi="Arial" w:cs="Arial"/>
          <w:i/>
          <w:noProof/>
          <w:sz w:val="24"/>
          <w:szCs w:val="24"/>
          <w:lang w:val="es-US"/>
        </w:rPr>
        <w:t>Apoyo Empresarial</w:t>
      </w:r>
      <w:r>
        <w:rPr>
          <w:rFonts w:ascii="Arial" w:hAnsi="Arial" w:cs="Arial"/>
          <w:i/>
          <w:noProof/>
          <w:sz w:val="24"/>
          <w:szCs w:val="24"/>
          <w:lang w:val="es-US"/>
        </w:rPr>
        <w:t xml:space="preserve"> para la Península de Cantera, Inc. </w:t>
      </w:r>
      <w:r w:rsidRPr="001C2C75">
        <w:rPr>
          <w:rFonts w:ascii="Arial" w:hAnsi="Arial" w:cs="Arial"/>
          <w:noProof/>
          <w:sz w:val="24"/>
          <w:szCs w:val="24"/>
          <w:lang w:val="es-US"/>
        </w:rPr>
        <w:t>para poder deleg</w:t>
      </w:r>
      <w:r>
        <w:rPr>
          <w:rFonts w:ascii="Arial" w:hAnsi="Arial" w:cs="Arial"/>
          <w:noProof/>
          <w:sz w:val="24"/>
          <w:szCs w:val="24"/>
          <w:lang w:val="es-US"/>
        </w:rPr>
        <w:t xml:space="preserve">ar estos programas de modo que se logre la continuidad de estos servicios desde organizaciones de la Comunidad. De otra parte, el programa de Expediciones Península, que ofrece recorridos ecoturísticos guiados en los sistemas de canales y lagunas del Estuario de la Bahía de San Juan, ha sido transferido a </w:t>
      </w:r>
      <w:r w:rsidRPr="001C2C75">
        <w:rPr>
          <w:rFonts w:ascii="Arial" w:hAnsi="Arial" w:cs="Arial"/>
          <w:i/>
          <w:noProof/>
          <w:sz w:val="24"/>
          <w:szCs w:val="24"/>
          <w:lang w:val="es-US"/>
        </w:rPr>
        <w:t>Apoyo Empresarial</w:t>
      </w:r>
      <w:r>
        <w:rPr>
          <w:rFonts w:ascii="Arial" w:hAnsi="Arial" w:cs="Arial"/>
          <w:noProof/>
          <w:sz w:val="24"/>
          <w:szCs w:val="24"/>
          <w:lang w:val="es-US"/>
        </w:rPr>
        <w:t>, quien recibió fondos de la Administracion de Desarrollo Laboral en 2014 para la capacitación y la experiencia de empleo de 7 jóvenes de la comunidad. Expediciones Península opera con un fondo semilla que aportó la CDIPC para esta iniciativa, y aun no genera fondos para su sustento propio.</w:t>
      </w:r>
    </w:p>
    <w:p w:rsidR="001C2C75" w:rsidRDefault="001C2C75" w:rsidP="001C2C75">
      <w:pPr>
        <w:spacing w:after="0"/>
        <w:ind w:firstLine="720"/>
        <w:jc w:val="both"/>
        <w:rPr>
          <w:rFonts w:ascii="Arial" w:hAnsi="Arial" w:cs="Arial"/>
          <w:noProof/>
          <w:sz w:val="24"/>
          <w:szCs w:val="24"/>
          <w:lang w:val="es-US"/>
        </w:rPr>
      </w:pPr>
    </w:p>
    <w:p w:rsidR="001C2C75" w:rsidRDefault="001C2C75" w:rsidP="001C2C75">
      <w:pPr>
        <w:spacing w:after="0"/>
        <w:ind w:firstLine="720"/>
        <w:jc w:val="both"/>
        <w:rPr>
          <w:rFonts w:ascii="Arial" w:hAnsi="Arial" w:cs="Arial"/>
          <w:noProof/>
          <w:sz w:val="24"/>
          <w:szCs w:val="24"/>
          <w:lang w:val="es-US"/>
        </w:rPr>
      </w:pPr>
      <w:r>
        <w:rPr>
          <w:rFonts w:ascii="Arial" w:hAnsi="Arial" w:cs="Arial"/>
          <w:noProof/>
          <w:sz w:val="24"/>
          <w:szCs w:val="24"/>
          <w:lang w:val="es-US"/>
        </w:rPr>
        <w:t>Como último componente del área de Desarrollo Humano que merece atención, la Organización y Desarrollo de la Comunidad ha sido uno de los retos más grandes que nos encontramos en el periodo incluido en este informe. Esto, pues hemos puesto gran esfuerzo en restablecer una relación de confianza saludable entre la CDIPC y el Consejo Vecinal, que es la organización de base comunitaria que serviría de enlace entre la comunidad y los esfuerzos institutionales del estado y la empresa privada en el Proyecto Península de Cantera. Aunque hubo progreso sustancial en esta área, es altamente recomendable continuar fortaleciendo canales de comunicación y colaboración entre organizaciones.</w:t>
      </w:r>
    </w:p>
    <w:p w:rsidR="001C2C75" w:rsidRDefault="001C2C75" w:rsidP="001C2C75">
      <w:pPr>
        <w:spacing w:after="0"/>
        <w:ind w:firstLine="720"/>
        <w:jc w:val="both"/>
        <w:rPr>
          <w:rFonts w:ascii="Arial" w:hAnsi="Arial" w:cs="Arial"/>
          <w:noProof/>
          <w:sz w:val="24"/>
          <w:szCs w:val="24"/>
          <w:lang w:val="es-US"/>
        </w:rPr>
      </w:pP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 xml:space="preserve">En cuanto al Desarrollo Físico de la Comunidad, contemplado en el Plan de Desarrollo Integral de la Península de Cantera, este se adelantó considerablemente en los pasados 15 años a través de líneas de crédito con el Banco Gubernamental de Fomento. En el periodo mencionado, se logró la construcción de cerca de 300 viviendas, la construcción de sistemas de servicios públicos a los residentes del sur de la Península de Cantera, gran porción de las adquisiciones de estructuras y el realojo de familias para viabilizar el dragado del Caño Martin Peña. Sin embargo, al momento queda por completar la provision de servicios públicos en las comunidades de Los Pinos y Villa Kennedy, la adquisición y el realojo de las familias en zona de realojo en el norte de la Península de Cantera, y la construcción del Paseo Lineal perimetral que definiría la Zona Marítimo Terrestre y proveería un medio confiable de transportación para los residentes de la Península de Cantera. </w:t>
      </w: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Estimamos que con una inversión capitalizable de aproximadamente $19MM en un periodo de 7 años, se podrían completar los proyectos de adquisición, que completarían la red vial, la infraestructura necesaria para proveer los servicios públicos en las comunidades al norte de la Península de Cantera. Refiérase a la gráfica a continuación.</w:t>
      </w:r>
    </w:p>
    <w:p w:rsidR="001C2C75" w:rsidRDefault="001C2C75" w:rsidP="00D04F9D">
      <w:pPr>
        <w:spacing w:after="0"/>
        <w:ind w:firstLine="720"/>
        <w:jc w:val="both"/>
        <w:rPr>
          <w:rFonts w:ascii="Arial" w:hAnsi="Arial" w:cs="Arial"/>
          <w:noProof/>
          <w:sz w:val="24"/>
          <w:szCs w:val="24"/>
          <w:lang w:val="es-US"/>
        </w:rPr>
      </w:pPr>
    </w:p>
    <w:tbl>
      <w:tblPr>
        <w:tblStyle w:val="TableGrid"/>
        <w:tblW w:w="9895" w:type="dxa"/>
        <w:tblLayout w:type="fixed"/>
        <w:tblLook w:val="04A0" w:firstRow="1" w:lastRow="0" w:firstColumn="1" w:lastColumn="0" w:noHBand="0" w:noVBand="1"/>
      </w:tblPr>
      <w:tblGrid>
        <w:gridCol w:w="2242"/>
        <w:gridCol w:w="1083"/>
        <w:gridCol w:w="1530"/>
        <w:gridCol w:w="360"/>
        <w:gridCol w:w="360"/>
        <w:gridCol w:w="360"/>
        <w:gridCol w:w="360"/>
        <w:gridCol w:w="360"/>
        <w:gridCol w:w="360"/>
        <w:gridCol w:w="360"/>
        <w:gridCol w:w="360"/>
        <w:gridCol w:w="360"/>
        <w:gridCol w:w="360"/>
        <w:gridCol w:w="360"/>
        <w:gridCol w:w="360"/>
        <w:gridCol w:w="360"/>
        <w:gridCol w:w="360"/>
      </w:tblGrid>
      <w:tr w:rsidR="001C2C75" w:rsidRPr="001C2C75" w:rsidTr="001C2C75">
        <w:tc>
          <w:tcPr>
            <w:tcW w:w="2242" w:type="dxa"/>
          </w:tcPr>
          <w:p w:rsidR="001C2C75" w:rsidRPr="001C2C75" w:rsidRDefault="001C2C75" w:rsidP="00D04F9D">
            <w:pPr>
              <w:jc w:val="both"/>
              <w:rPr>
                <w:rFonts w:ascii="Arial" w:hAnsi="Arial" w:cs="Arial"/>
                <w:noProof/>
                <w:sz w:val="20"/>
                <w:szCs w:val="20"/>
                <w:lang w:val="es-US"/>
              </w:rPr>
            </w:pPr>
            <w:r w:rsidRPr="001C2C75">
              <w:rPr>
                <w:rFonts w:ascii="Arial" w:hAnsi="Arial" w:cs="Arial"/>
                <w:noProof/>
                <w:sz w:val="20"/>
                <w:szCs w:val="20"/>
                <w:lang w:val="es-US"/>
              </w:rPr>
              <w:t>Proyecto</w:t>
            </w:r>
          </w:p>
        </w:tc>
        <w:tc>
          <w:tcPr>
            <w:tcW w:w="1083" w:type="dxa"/>
          </w:tcPr>
          <w:p w:rsidR="001C2C75" w:rsidRPr="001C2C75" w:rsidRDefault="001C2C75" w:rsidP="00D04F9D">
            <w:pPr>
              <w:jc w:val="both"/>
              <w:rPr>
                <w:rFonts w:ascii="Arial" w:hAnsi="Arial" w:cs="Arial"/>
                <w:noProof/>
                <w:sz w:val="20"/>
                <w:szCs w:val="20"/>
                <w:lang w:val="es-US"/>
              </w:rPr>
            </w:pPr>
            <w:r w:rsidRPr="001C2C75">
              <w:rPr>
                <w:rFonts w:ascii="Arial" w:hAnsi="Arial" w:cs="Arial"/>
                <w:noProof/>
                <w:sz w:val="20"/>
                <w:szCs w:val="20"/>
                <w:lang w:val="es-US"/>
              </w:rPr>
              <w:t>Costo Estimado</w:t>
            </w:r>
          </w:p>
        </w:tc>
        <w:tc>
          <w:tcPr>
            <w:tcW w:w="1530" w:type="dxa"/>
          </w:tcPr>
          <w:p w:rsidR="001C2C75" w:rsidRPr="001C2C75" w:rsidRDefault="001C2C75" w:rsidP="00D04F9D">
            <w:pPr>
              <w:jc w:val="both"/>
              <w:rPr>
                <w:rFonts w:ascii="Arial" w:hAnsi="Arial" w:cs="Arial"/>
                <w:noProof/>
                <w:sz w:val="20"/>
                <w:szCs w:val="20"/>
                <w:lang w:val="es-US"/>
              </w:rPr>
            </w:pPr>
            <w:r w:rsidRPr="001C2C75">
              <w:rPr>
                <w:rFonts w:ascii="Arial" w:hAnsi="Arial" w:cs="Arial"/>
                <w:noProof/>
                <w:sz w:val="20"/>
                <w:szCs w:val="20"/>
                <w:lang w:val="es-US"/>
              </w:rPr>
              <w:t>Tiempo Estimado</w:t>
            </w:r>
          </w:p>
        </w:tc>
        <w:tc>
          <w:tcPr>
            <w:tcW w:w="720" w:type="dxa"/>
            <w:gridSpan w:val="2"/>
          </w:tcPr>
          <w:p w:rsidR="001C2C75" w:rsidRPr="001C2C75" w:rsidRDefault="001C2C75" w:rsidP="00D04F9D">
            <w:pPr>
              <w:jc w:val="both"/>
              <w:rPr>
                <w:rFonts w:ascii="Arial" w:hAnsi="Arial" w:cs="Arial"/>
                <w:noProof/>
                <w:sz w:val="20"/>
                <w:szCs w:val="20"/>
                <w:lang w:val="es-US"/>
              </w:rPr>
            </w:pPr>
            <w:r>
              <w:rPr>
                <w:rFonts w:ascii="Arial" w:hAnsi="Arial" w:cs="Arial"/>
                <w:noProof/>
                <w:sz w:val="20"/>
                <w:szCs w:val="20"/>
                <w:lang w:val="es-US"/>
              </w:rPr>
              <w:t>2017</w:t>
            </w:r>
          </w:p>
        </w:tc>
        <w:tc>
          <w:tcPr>
            <w:tcW w:w="720" w:type="dxa"/>
            <w:gridSpan w:val="2"/>
          </w:tcPr>
          <w:p w:rsidR="001C2C75" w:rsidRPr="001C2C75" w:rsidRDefault="001C2C75" w:rsidP="00D04F9D">
            <w:pPr>
              <w:jc w:val="both"/>
              <w:rPr>
                <w:rFonts w:ascii="Arial" w:hAnsi="Arial" w:cs="Arial"/>
                <w:noProof/>
                <w:sz w:val="20"/>
                <w:szCs w:val="20"/>
                <w:lang w:val="es-US"/>
              </w:rPr>
            </w:pPr>
            <w:r>
              <w:rPr>
                <w:rFonts w:ascii="Arial" w:hAnsi="Arial" w:cs="Arial"/>
                <w:noProof/>
                <w:sz w:val="20"/>
                <w:szCs w:val="20"/>
                <w:lang w:val="es-US"/>
              </w:rPr>
              <w:t>2018</w:t>
            </w:r>
          </w:p>
        </w:tc>
        <w:tc>
          <w:tcPr>
            <w:tcW w:w="720" w:type="dxa"/>
            <w:gridSpan w:val="2"/>
          </w:tcPr>
          <w:p w:rsidR="001C2C75" w:rsidRPr="001C2C75" w:rsidRDefault="001C2C75" w:rsidP="00D04F9D">
            <w:pPr>
              <w:jc w:val="both"/>
              <w:rPr>
                <w:rFonts w:ascii="Arial" w:hAnsi="Arial" w:cs="Arial"/>
                <w:noProof/>
                <w:sz w:val="20"/>
                <w:szCs w:val="20"/>
                <w:lang w:val="es-US"/>
              </w:rPr>
            </w:pPr>
            <w:r>
              <w:rPr>
                <w:rFonts w:ascii="Arial" w:hAnsi="Arial" w:cs="Arial"/>
                <w:noProof/>
                <w:sz w:val="20"/>
                <w:szCs w:val="20"/>
                <w:lang w:val="es-US"/>
              </w:rPr>
              <w:t>2019</w:t>
            </w:r>
          </w:p>
        </w:tc>
        <w:tc>
          <w:tcPr>
            <w:tcW w:w="720" w:type="dxa"/>
            <w:gridSpan w:val="2"/>
          </w:tcPr>
          <w:p w:rsidR="001C2C75" w:rsidRPr="001C2C75" w:rsidRDefault="001C2C75" w:rsidP="00D04F9D">
            <w:pPr>
              <w:jc w:val="both"/>
              <w:rPr>
                <w:rFonts w:ascii="Arial" w:hAnsi="Arial" w:cs="Arial"/>
                <w:noProof/>
                <w:sz w:val="20"/>
                <w:szCs w:val="20"/>
                <w:lang w:val="es-US"/>
              </w:rPr>
            </w:pPr>
            <w:r>
              <w:rPr>
                <w:rFonts w:ascii="Arial" w:hAnsi="Arial" w:cs="Arial"/>
                <w:noProof/>
                <w:sz w:val="20"/>
                <w:szCs w:val="20"/>
                <w:lang w:val="es-US"/>
              </w:rPr>
              <w:t>2020</w:t>
            </w:r>
          </w:p>
        </w:tc>
        <w:tc>
          <w:tcPr>
            <w:tcW w:w="720" w:type="dxa"/>
            <w:gridSpan w:val="2"/>
          </w:tcPr>
          <w:p w:rsidR="001C2C75" w:rsidRPr="001C2C75" w:rsidRDefault="001C2C75" w:rsidP="00D04F9D">
            <w:pPr>
              <w:jc w:val="both"/>
              <w:rPr>
                <w:rFonts w:ascii="Arial" w:hAnsi="Arial" w:cs="Arial"/>
                <w:noProof/>
                <w:sz w:val="20"/>
                <w:szCs w:val="20"/>
                <w:lang w:val="es-US"/>
              </w:rPr>
            </w:pPr>
            <w:r>
              <w:rPr>
                <w:rFonts w:ascii="Arial" w:hAnsi="Arial" w:cs="Arial"/>
                <w:noProof/>
                <w:sz w:val="20"/>
                <w:szCs w:val="20"/>
                <w:lang w:val="es-US"/>
              </w:rPr>
              <w:t>2021</w:t>
            </w:r>
          </w:p>
        </w:tc>
        <w:tc>
          <w:tcPr>
            <w:tcW w:w="720" w:type="dxa"/>
            <w:gridSpan w:val="2"/>
          </w:tcPr>
          <w:p w:rsidR="001C2C75" w:rsidRDefault="001C2C75" w:rsidP="00D04F9D">
            <w:pPr>
              <w:jc w:val="both"/>
              <w:rPr>
                <w:rFonts w:ascii="Arial" w:hAnsi="Arial" w:cs="Arial"/>
                <w:noProof/>
                <w:sz w:val="20"/>
                <w:szCs w:val="20"/>
                <w:lang w:val="es-US"/>
              </w:rPr>
            </w:pPr>
            <w:r>
              <w:rPr>
                <w:rFonts w:ascii="Arial" w:hAnsi="Arial" w:cs="Arial"/>
                <w:noProof/>
                <w:sz w:val="20"/>
                <w:szCs w:val="20"/>
                <w:lang w:val="es-US"/>
              </w:rPr>
              <w:t>2022</w:t>
            </w:r>
          </w:p>
        </w:tc>
        <w:tc>
          <w:tcPr>
            <w:tcW w:w="720" w:type="dxa"/>
            <w:gridSpan w:val="2"/>
          </w:tcPr>
          <w:p w:rsidR="001C2C75" w:rsidRDefault="001C2C75" w:rsidP="00D04F9D">
            <w:pPr>
              <w:jc w:val="both"/>
              <w:rPr>
                <w:rFonts w:ascii="Arial" w:hAnsi="Arial" w:cs="Arial"/>
                <w:noProof/>
                <w:sz w:val="20"/>
                <w:szCs w:val="20"/>
                <w:lang w:val="es-US"/>
              </w:rPr>
            </w:pPr>
            <w:r>
              <w:rPr>
                <w:rFonts w:ascii="Arial" w:hAnsi="Arial" w:cs="Arial"/>
                <w:noProof/>
                <w:sz w:val="20"/>
                <w:szCs w:val="20"/>
                <w:lang w:val="es-US"/>
              </w:rPr>
              <w:t>2023</w:t>
            </w:r>
          </w:p>
        </w:tc>
      </w:tr>
      <w:tr w:rsidR="001C2C75" w:rsidRPr="001C2C75" w:rsidTr="00B61DB5">
        <w:trPr>
          <w:trHeight w:val="166"/>
        </w:trPr>
        <w:tc>
          <w:tcPr>
            <w:tcW w:w="2242" w:type="dxa"/>
            <w:vMerge w:val="restart"/>
          </w:tcPr>
          <w:p w:rsidR="001C2C75" w:rsidRPr="001C2C75" w:rsidRDefault="001C2C75" w:rsidP="001C2C75">
            <w:pPr>
              <w:rPr>
                <w:rFonts w:ascii="Arial" w:hAnsi="Arial" w:cs="Arial"/>
                <w:noProof/>
                <w:sz w:val="20"/>
                <w:szCs w:val="20"/>
                <w:lang w:val="es-US"/>
              </w:rPr>
            </w:pPr>
            <w:r w:rsidRPr="001C2C75">
              <w:rPr>
                <w:rFonts w:ascii="Arial" w:hAnsi="Arial" w:cs="Arial"/>
                <w:noProof/>
                <w:sz w:val="20"/>
                <w:szCs w:val="20"/>
                <w:lang w:val="es-US"/>
              </w:rPr>
              <w:t>Inf</w:t>
            </w:r>
            <w:r>
              <w:rPr>
                <w:rFonts w:ascii="Arial" w:hAnsi="Arial" w:cs="Arial"/>
                <w:noProof/>
                <w:sz w:val="20"/>
                <w:szCs w:val="20"/>
                <w:lang w:val="es-US"/>
              </w:rPr>
              <w:t>raestructura al Norte de la Pení</w:t>
            </w:r>
            <w:r w:rsidRPr="001C2C75">
              <w:rPr>
                <w:rFonts w:ascii="Arial" w:hAnsi="Arial" w:cs="Arial"/>
                <w:noProof/>
                <w:sz w:val="20"/>
                <w:szCs w:val="20"/>
                <w:lang w:val="es-US"/>
              </w:rPr>
              <w:t>nsula de Cantera</w:t>
            </w:r>
          </w:p>
        </w:tc>
        <w:tc>
          <w:tcPr>
            <w:tcW w:w="1083" w:type="dxa"/>
            <w:vMerge w:val="restart"/>
          </w:tcPr>
          <w:p w:rsidR="001C2C75" w:rsidRPr="001C2C75" w:rsidRDefault="001C2C75" w:rsidP="001C2C75">
            <w:pPr>
              <w:jc w:val="both"/>
              <w:rPr>
                <w:rFonts w:ascii="Arial" w:hAnsi="Arial" w:cs="Arial"/>
                <w:noProof/>
                <w:sz w:val="20"/>
                <w:szCs w:val="20"/>
                <w:lang w:val="es-US"/>
              </w:rPr>
            </w:pPr>
            <w:r w:rsidRPr="001C2C75">
              <w:rPr>
                <w:rFonts w:ascii="Arial" w:hAnsi="Arial" w:cs="Arial"/>
                <w:noProof/>
                <w:sz w:val="20"/>
                <w:szCs w:val="20"/>
                <w:lang w:val="es-US"/>
              </w:rPr>
              <w:t>$4MM</w:t>
            </w:r>
          </w:p>
          <w:p w:rsidR="001C2C75" w:rsidRPr="001C2C75" w:rsidRDefault="001C2C75" w:rsidP="001C2C75">
            <w:pPr>
              <w:jc w:val="both"/>
              <w:rPr>
                <w:rFonts w:ascii="Arial" w:hAnsi="Arial" w:cs="Arial"/>
                <w:noProof/>
                <w:sz w:val="20"/>
                <w:szCs w:val="20"/>
                <w:lang w:val="es-US"/>
              </w:rPr>
            </w:pPr>
          </w:p>
        </w:tc>
        <w:tc>
          <w:tcPr>
            <w:tcW w:w="1530" w:type="dxa"/>
            <w:vMerge w:val="restart"/>
          </w:tcPr>
          <w:p w:rsidR="001C2C75" w:rsidRPr="001C2C75" w:rsidRDefault="001C2C75" w:rsidP="001C2C75">
            <w:pPr>
              <w:jc w:val="both"/>
              <w:rPr>
                <w:rFonts w:ascii="Arial" w:hAnsi="Arial" w:cs="Arial"/>
                <w:noProof/>
                <w:sz w:val="20"/>
                <w:szCs w:val="20"/>
                <w:lang w:val="es-US"/>
              </w:rPr>
            </w:pPr>
            <w:r>
              <w:rPr>
                <w:rFonts w:ascii="Arial" w:hAnsi="Arial" w:cs="Arial"/>
                <w:noProof/>
                <w:sz w:val="20"/>
                <w:szCs w:val="20"/>
                <w:highlight w:val="green"/>
                <w:lang w:val="es-US"/>
              </w:rPr>
              <w:t>1yr diseño</w:t>
            </w:r>
          </w:p>
          <w:p w:rsidR="001C2C75" w:rsidRPr="001C2C75" w:rsidRDefault="001C2C75" w:rsidP="001C2C75">
            <w:pPr>
              <w:jc w:val="both"/>
              <w:rPr>
                <w:rFonts w:ascii="Arial" w:hAnsi="Arial" w:cs="Arial"/>
                <w:noProof/>
                <w:sz w:val="20"/>
                <w:szCs w:val="20"/>
                <w:lang w:val="es-US"/>
              </w:rPr>
            </w:pPr>
            <w:r w:rsidRPr="001C2C75">
              <w:rPr>
                <w:rFonts w:ascii="Arial" w:hAnsi="Arial" w:cs="Arial"/>
                <w:noProof/>
                <w:sz w:val="20"/>
                <w:szCs w:val="20"/>
                <w:highlight w:val="yellow"/>
                <w:lang w:val="es-US"/>
              </w:rPr>
              <w:t>0.5yr permits</w:t>
            </w:r>
          </w:p>
          <w:p w:rsidR="001C2C75" w:rsidRPr="001C2C75" w:rsidRDefault="001C2C75" w:rsidP="001C2C75">
            <w:pPr>
              <w:jc w:val="both"/>
              <w:rPr>
                <w:rFonts w:ascii="Arial" w:hAnsi="Arial" w:cs="Arial"/>
                <w:noProof/>
                <w:sz w:val="20"/>
                <w:szCs w:val="20"/>
                <w:lang w:val="es-US"/>
              </w:rPr>
            </w:pPr>
            <w:r>
              <w:rPr>
                <w:rFonts w:ascii="Arial" w:hAnsi="Arial" w:cs="Arial"/>
                <w:noProof/>
                <w:sz w:val="20"/>
                <w:szCs w:val="20"/>
                <w:highlight w:val="cyan"/>
                <w:lang w:val="es-US"/>
              </w:rPr>
              <w:t>3</w:t>
            </w:r>
            <w:r w:rsidRPr="001C2C75">
              <w:rPr>
                <w:rFonts w:ascii="Arial" w:hAnsi="Arial" w:cs="Arial"/>
                <w:noProof/>
                <w:sz w:val="20"/>
                <w:szCs w:val="20"/>
                <w:highlight w:val="cyan"/>
                <w:lang w:val="es-US"/>
              </w:rPr>
              <w:t>yr const.</w:t>
            </w: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b/>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B61DB5">
        <w:trPr>
          <w:trHeight w:val="164"/>
        </w:trPr>
        <w:tc>
          <w:tcPr>
            <w:tcW w:w="2242" w:type="dxa"/>
            <w:vMerge/>
          </w:tcPr>
          <w:p w:rsidR="001C2C75" w:rsidRPr="001C2C75" w:rsidRDefault="001C2C75" w:rsidP="001C2C75">
            <w:pPr>
              <w:rPr>
                <w:rFonts w:ascii="Arial" w:hAnsi="Arial" w:cs="Arial"/>
                <w:noProof/>
                <w:sz w:val="20"/>
                <w:szCs w:val="20"/>
                <w:lang w:val="es-US"/>
              </w:rPr>
            </w:pPr>
          </w:p>
        </w:tc>
        <w:tc>
          <w:tcPr>
            <w:tcW w:w="1083" w:type="dxa"/>
            <w:vMerge/>
          </w:tcPr>
          <w:p w:rsidR="001C2C75" w:rsidRP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FFFF00"/>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B61DB5">
        <w:trPr>
          <w:trHeight w:val="164"/>
        </w:trPr>
        <w:tc>
          <w:tcPr>
            <w:tcW w:w="2242" w:type="dxa"/>
            <w:vMerge/>
          </w:tcPr>
          <w:p w:rsidR="001C2C75" w:rsidRPr="001C2C75" w:rsidRDefault="001C2C75" w:rsidP="001C2C75">
            <w:pPr>
              <w:rPr>
                <w:rFonts w:ascii="Arial" w:hAnsi="Arial" w:cs="Arial"/>
                <w:noProof/>
                <w:sz w:val="20"/>
                <w:szCs w:val="20"/>
                <w:lang w:val="es-US"/>
              </w:rPr>
            </w:pPr>
          </w:p>
        </w:tc>
        <w:tc>
          <w:tcPr>
            <w:tcW w:w="1083" w:type="dxa"/>
            <w:vMerge/>
          </w:tcPr>
          <w:p w:rsidR="001C2C75" w:rsidRP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00FFFF"/>
          </w:tcPr>
          <w:p w:rsidR="001C2C75" w:rsidRPr="001C2C75" w:rsidRDefault="001C2C75" w:rsidP="001C2C75">
            <w:pPr>
              <w:jc w:val="both"/>
              <w:rPr>
                <w:rFonts w:ascii="Arial" w:hAnsi="Arial" w:cs="Arial"/>
                <w:noProof/>
                <w:sz w:val="20"/>
                <w:szCs w:val="20"/>
                <w:lang w:val="es-US"/>
              </w:rPr>
            </w:pPr>
          </w:p>
        </w:tc>
        <w:tc>
          <w:tcPr>
            <w:tcW w:w="360" w:type="dxa"/>
            <w:shd w:val="clear" w:color="auto" w:fill="00FFFF"/>
          </w:tcPr>
          <w:p w:rsidR="001C2C75" w:rsidRPr="001C2C75" w:rsidRDefault="001C2C75" w:rsidP="001C2C75">
            <w:pPr>
              <w:jc w:val="both"/>
              <w:rPr>
                <w:rFonts w:ascii="Arial" w:hAnsi="Arial" w:cs="Arial"/>
                <w:noProof/>
                <w:sz w:val="20"/>
                <w:szCs w:val="20"/>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253E6">
        <w:trPr>
          <w:trHeight w:val="166"/>
        </w:trPr>
        <w:tc>
          <w:tcPr>
            <w:tcW w:w="2242" w:type="dxa"/>
            <w:vMerge w:val="restart"/>
          </w:tcPr>
          <w:p w:rsidR="001C2C75" w:rsidRPr="001C2C75" w:rsidRDefault="001C2C75" w:rsidP="001C2C75">
            <w:pPr>
              <w:rPr>
                <w:rFonts w:ascii="Arial" w:hAnsi="Arial" w:cs="Arial"/>
                <w:noProof/>
                <w:sz w:val="20"/>
                <w:szCs w:val="20"/>
                <w:lang w:val="es-US"/>
              </w:rPr>
            </w:pPr>
            <w:r>
              <w:rPr>
                <w:rFonts w:ascii="Arial" w:hAnsi="Arial" w:cs="Arial"/>
                <w:noProof/>
                <w:sz w:val="20"/>
                <w:szCs w:val="20"/>
                <w:lang w:val="es-US"/>
              </w:rPr>
              <w:t xml:space="preserve">Construcción de Paseo Lineal </w:t>
            </w:r>
            <w:r w:rsidRPr="001C2C75">
              <w:rPr>
                <w:rFonts w:ascii="Arial" w:hAnsi="Arial" w:cs="Arial"/>
                <w:b/>
                <w:noProof/>
                <w:sz w:val="20"/>
                <w:szCs w:val="20"/>
                <w:lang w:val="es-US"/>
              </w:rPr>
              <w:t>Sur</w:t>
            </w:r>
          </w:p>
        </w:tc>
        <w:tc>
          <w:tcPr>
            <w:tcW w:w="1083" w:type="dxa"/>
            <w:vMerge w:val="restart"/>
          </w:tcPr>
          <w:p w:rsidR="001C2C75" w:rsidRPr="001C2C75" w:rsidRDefault="001C2C75" w:rsidP="001C2C75">
            <w:pPr>
              <w:jc w:val="both"/>
              <w:rPr>
                <w:rFonts w:ascii="Arial" w:hAnsi="Arial" w:cs="Arial"/>
                <w:noProof/>
                <w:sz w:val="20"/>
                <w:szCs w:val="20"/>
                <w:lang w:val="es-US"/>
              </w:rPr>
            </w:pPr>
            <w:r>
              <w:rPr>
                <w:rFonts w:ascii="Arial" w:hAnsi="Arial" w:cs="Arial"/>
                <w:noProof/>
                <w:sz w:val="20"/>
                <w:szCs w:val="20"/>
                <w:lang w:val="es-US"/>
              </w:rPr>
              <w:t>$5MM</w:t>
            </w:r>
          </w:p>
        </w:tc>
        <w:tc>
          <w:tcPr>
            <w:tcW w:w="1530" w:type="dxa"/>
            <w:vMerge w:val="restart"/>
          </w:tcPr>
          <w:p w:rsidR="001C2C75" w:rsidRDefault="001C2C75" w:rsidP="001C2C75">
            <w:pPr>
              <w:jc w:val="both"/>
              <w:rPr>
                <w:rFonts w:ascii="Arial" w:hAnsi="Arial" w:cs="Arial"/>
                <w:noProof/>
                <w:sz w:val="20"/>
                <w:szCs w:val="20"/>
                <w:highlight w:val="green"/>
                <w:lang w:val="es-US"/>
              </w:rPr>
            </w:pPr>
            <w:r>
              <w:rPr>
                <w:rFonts w:ascii="Arial" w:hAnsi="Arial" w:cs="Arial"/>
                <w:noProof/>
                <w:sz w:val="20"/>
                <w:szCs w:val="20"/>
                <w:highlight w:val="green"/>
                <w:lang w:val="es-US"/>
              </w:rPr>
              <w:t>1.5yr diseño</w:t>
            </w:r>
          </w:p>
          <w:p w:rsidR="001C2C75" w:rsidRPr="001C2C75" w:rsidRDefault="001C2C75" w:rsidP="001C2C75">
            <w:pPr>
              <w:jc w:val="both"/>
              <w:rPr>
                <w:rFonts w:ascii="Arial" w:hAnsi="Arial" w:cs="Arial"/>
                <w:noProof/>
                <w:sz w:val="20"/>
                <w:szCs w:val="20"/>
                <w:highlight w:val="yellow"/>
                <w:lang w:val="es-US"/>
              </w:rPr>
            </w:pPr>
            <w:r w:rsidRPr="001C2C75">
              <w:rPr>
                <w:rFonts w:ascii="Arial" w:hAnsi="Arial" w:cs="Arial"/>
                <w:noProof/>
                <w:sz w:val="20"/>
                <w:szCs w:val="20"/>
                <w:highlight w:val="yellow"/>
                <w:lang w:val="es-US"/>
              </w:rPr>
              <w:t>0.5yr permits</w:t>
            </w:r>
          </w:p>
          <w:p w:rsidR="001C2C75" w:rsidRPr="001C2C75" w:rsidRDefault="001C2C75" w:rsidP="001C2C75">
            <w:pPr>
              <w:jc w:val="both"/>
              <w:rPr>
                <w:rFonts w:ascii="Arial" w:hAnsi="Arial" w:cs="Arial"/>
                <w:noProof/>
                <w:sz w:val="20"/>
                <w:szCs w:val="20"/>
                <w:highlight w:val="green"/>
                <w:lang w:val="es-US"/>
              </w:rPr>
            </w:pPr>
            <w:r w:rsidRPr="001C2C75">
              <w:rPr>
                <w:rFonts w:ascii="Arial" w:hAnsi="Arial" w:cs="Arial"/>
                <w:noProof/>
                <w:sz w:val="20"/>
                <w:szCs w:val="20"/>
                <w:highlight w:val="cyan"/>
                <w:lang w:val="es-US"/>
              </w:rPr>
              <w:t>3yr const.</w:t>
            </w:r>
          </w:p>
        </w:tc>
        <w:tc>
          <w:tcPr>
            <w:tcW w:w="360" w:type="dxa"/>
            <w:shd w:val="clear" w:color="auto" w:fill="00FF00"/>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253E6">
        <w:trPr>
          <w:trHeight w:val="164"/>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FFFF00"/>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253E6">
        <w:trPr>
          <w:trHeight w:val="164"/>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00FFFF"/>
          </w:tcPr>
          <w:p w:rsidR="001C2C75" w:rsidRPr="001C2C75" w:rsidRDefault="001C2C75" w:rsidP="001C2C75">
            <w:pPr>
              <w:jc w:val="both"/>
              <w:rPr>
                <w:rFonts w:ascii="Arial" w:hAnsi="Arial" w:cs="Arial"/>
                <w:noProof/>
                <w:sz w:val="20"/>
                <w:szCs w:val="20"/>
                <w:lang w:val="es-US"/>
              </w:rPr>
            </w:pPr>
          </w:p>
        </w:tc>
        <w:tc>
          <w:tcPr>
            <w:tcW w:w="360" w:type="dxa"/>
            <w:shd w:val="clear" w:color="auto" w:fill="00FFFF"/>
          </w:tcPr>
          <w:p w:rsidR="001C2C75" w:rsidRPr="001C2C75" w:rsidRDefault="001C2C75" w:rsidP="001C2C75">
            <w:pPr>
              <w:jc w:val="both"/>
              <w:rPr>
                <w:rFonts w:ascii="Arial" w:hAnsi="Arial" w:cs="Arial"/>
                <w:noProof/>
                <w:sz w:val="20"/>
                <w:szCs w:val="20"/>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5"/>
        </w:trPr>
        <w:tc>
          <w:tcPr>
            <w:tcW w:w="2242" w:type="dxa"/>
            <w:vMerge w:val="restart"/>
          </w:tcPr>
          <w:p w:rsidR="001C2C75" w:rsidRDefault="001C2C75" w:rsidP="001C2C75">
            <w:pPr>
              <w:rPr>
                <w:rFonts w:ascii="Arial" w:hAnsi="Arial" w:cs="Arial"/>
                <w:noProof/>
                <w:sz w:val="20"/>
                <w:szCs w:val="20"/>
                <w:lang w:val="es-US"/>
              </w:rPr>
            </w:pPr>
            <w:r>
              <w:rPr>
                <w:rFonts w:ascii="Arial" w:hAnsi="Arial" w:cs="Arial"/>
                <w:noProof/>
                <w:sz w:val="20"/>
                <w:szCs w:val="20"/>
                <w:lang w:val="es-US"/>
              </w:rPr>
              <w:t>Adquisición y Realojo</w:t>
            </w:r>
          </w:p>
          <w:p w:rsidR="001C2C75" w:rsidRPr="001C2C75" w:rsidRDefault="001C2C75" w:rsidP="001C2C75">
            <w:pPr>
              <w:rPr>
                <w:rFonts w:ascii="Arial" w:hAnsi="Arial" w:cs="Arial"/>
                <w:b/>
                <w:noProof/>
                <w:sz w:val="20"/>
                <w:szCs w:val="20"/>
                <w:lang w:val="es-US"/>
              </w:rPr>
            </w:pPr>
            <w:r w:rsidRPr="001C2C75">
              <w:rPr>
                <w:rFonts w:ascii="Arial" w:hAnsi="Arial" w:cs="Arial"/>
                <w:b/>
                <w:noProof/>
                <w:sz w:val="20"/>
                <w:szCs w:val="20"/>
                <w:lang w:val="es-US"/>
              </w:rPr>
              <w:t>Norte</w:t>
            </w:r>
          </w:p>
        </w:tc>
        <w:tc>
          <w:tcPr>
            <w:tcW w:w="1083" w:type="dxa"/>
            <w:vMerge w:val="restart"/>
          </w:tcPr>
          <w:p w:rsidR="001C2C75" w:rsidRDefault="001C2C75" w:rsidP="001C2C75">
            <w:pPr>
              <w:jc w:val="both"/>
              <w:rPr>
                <w:rFonts w:ascii="Arial" w:hAnsi="Arial" w:cs="Arial"/>
                <w:noProof/>
                <w:sz w:val="20"/>
                <w:szCs w:val="20"/>
                <w:lang w:val="es-US"/>
              </w:rPr>
            </w:pPr>
            <w:r>
              <w:rPr>
                <w:rFonts w:ascii="Arial" w:hAnsi="Arial" w:cs="Arial"/>
                <w:noProof/>
                <w:sz w:val="20"/>
                <w:szCs w:val="20"/>
                <w:lang w:val="es-US"/>
              </w:rPr>
              <w:t>$4.5MM</w:t>
            </w:r>
          </w:p>
        </w:tc>
        <w:tc>
          <w:tcPr>
            <w:tcW w:w="1530" w:type="dxa"/>
            <w:vMerge w:val="restart"/>
          </w:tcPr>
          <w:p w:rsidR="001C2C75" w:rsidRPr="001C2C75" w:rsidRDefault="001C2C75" w:rsidP="001C2C75">
            <w:pPr>
              <w:jc w:val="both"/>
              <w:rPr>
                <w:rFonts w:ascii="Arial" w:hAnsi="Arial" w:cs="Arial"/>
                <w:noProof/>
                <w:sz w:val="20"/>
                <w:szCs w:val="20"/>
                <w:highlight w:val="green"/>
                <w:lang w:val="en-US"/>
              </w:rPr>
            </w:pPr>
            <w:r w:rsidRPr="001C2C75">
              <w:rPr>
                <w:rFonts w:ascii="Arial" w:hAnsi="Arial" w:cs="Arial"/>
                <w:noProof/>
                <w:sz w:val="20"/>
                <w:szCs w:val="20"/>
                <w:highlight w:val="green"/>
                <w:lang w:val="en-US"/>
              </w:rPr>
              <w:t>0.5yr planning</w:t>
            </w:r>
          </w:p>
          <w:p w:rsidR="001C2C75" w:rsidRPr="001C2C75" w:rsidRDefault="001C2C75" w:rsidP="001C2C75">
            <w:pPr>
              <w:jc w:val="both"/>
              <w:rPr>
                <w:rFonts w:ascii="Arial" w:hAnsi="Arial" w:cs="Arial"/>
                <w:noProof/>
                <w:sz w:val="20"/>
                <w:szCs w:val="20"/>
                <w:highlight w:val="yellow"/>
                <w:lang w:val="en-US"/>
              </w:rPr>
            </w:pPr>
            <w:r w:rsidRPr="001C2C75">
              <w:rPr>
                <w:rFonts w:ascii="Arial" w:hAnsi="Arial" w:cs="Arial"/>
                <w:noProof/>
                <w:sz w:val="20"/>
                <w:szCs w:val="20"/>
                <w:highlight w:val="yellow"/>
                <w:lang w:val="en-US"/>
              </w:rPr>
              <w:t>0.5yr permits</w:t>
            </w:r>
          </w:p>
          <w:p w:rsidR="001C2C75" w:rsidRPr="001C2C75" w:rsidRDefault="001C2C75" w:rsidP="001C2C75">
            <w:pPr>
              <w:jc w:val="both"/>
              <w:rPr>
                <w:rFonts w:ascii="Arial" w:hAnsi="Arial" w:cs="Arial"/>
                <w:noProof/>
                <w:sz w:val="20"/>
                <w:szCs w:val="20"/>
                <w:highlight w:val="green"/>
                <w:lang w:val="en-US"/>
              </w:rPr>
            </w:pPr>
            <w:r>
              <w:rPr>
                <w:rFonts w:ascii="Arial" w:hAnsi="Arial" w:cs="Arial"/>
                <w:noProof/>
                <w:sz w:val="20"/>
                <w:szCs w:val="20"/>
                <w:highlight w:val="cyan"/>
                <w:lang w:val="en-US"/>
              </w:rPr>
              <w:t>3yr Adq</w:t>
            </w:r>
            <w:r w:rsidRPr="001C2C75">
              <w:rPr>
                <w:rFonts w:ascii="Arial" w:hAnsi="Arial" w:cs="Arial"/>
                <w:noProof/>
                <w:sz w:val="20"/>
                <w:szCs w:val="20"/>
                <w:highlight w:val="cyan"/>
                <w:lang w:val="en-US"/>
              </w:rPr>
              <w:t>.</w:t>
            </w:r>
          </w:p>
        </w:tc>
        <w:tc>
          <w:tcPr>
            <w:tcW w:w="360" w:type="dxa"/>
            <w:shd w:val="clear" w:color="auto" w:fill="00FF00"/>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r>
      <w:tr w:rsidR="001C2C75" w:rsidRPr="001C2C75" w:rsidTr="001C2C75">
        <w:trPr>
          <w:trHeight w:val="53"/>
        </w:trPr>
        <w:tc>
          <w:tcPr>
            <w:tcW w:w="2242" w:type="dxa"/>
            <w:vMerge/>
          </w:tcPr>
          <w:p w:rsidR="001C2C75" w:rsidRPr="001C2C75" w:rsidRDefault="001C2C75" w:rsidP="001C2C75">
            <w:pPr>
              <w:rPr>
                <w:rFonts w:ascii="Arial" w:hAnsi="Arial" w:cs="Arial"/>
                <w:noProof/>
                <w:sz w:val="20"/>
                <w:szCs w:val="20"/>
                <w:lang w:val="en-US"/>
              </w:rPr>
            </w:pPr>
          </w:p>
        </w:tc>
        <w:tc>
          <w:tcPr>
            <w:tcW w:w="1083" w:type="dxa"/>
            <w:vMerge/>
          </w:tcPr>
          <w:p w:rsidR="001C2C75" w:rsidRPr="001C2C75" w:rsidRDefault="001C2C75" w:rsidP="001C2C75">
            <w:pPr>
              <w:jc w:val="both"/>
              <w:rPr>
                <w:rFonts w:ascii="Arial" w:hAnsi="Arial" w:cs="Arial"/>
                <w:noProof/>
                <w:sz w:val="20"/>
                <w:szCs w:val="20"/>
                <w:lang w:val="en-US"/>
              </w:rPr>
            </w:pPr>
          </w:p>
        </w:tc>
        <w:tc>
          <w:tcPr>
            <w:tcW w:w="1530" w:type="dxa"/>
            <w:vMerge/>
          </w:tcPr>
          <w:p w:rsidR="001C2C75" w:rsidRPr="001C2C75" w:rsidRDefault="001C2C75" w:rsidP="001C2C75">
            <w:pPr>
              <w:jc w:val="both"/>
              <w:rPr>
                <w:rFonts w:ascii="Arial" w:hAnsi="Arial" w:cs="Arial"/>
                <w:noProof/>
                <w:sz w:val="20"/>
                <w:szCs w:val="20"/>
                <w:highlight w:val="green"/>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FFFF00"/>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r>
      <w:tr w:rsidR="001C2C75" w:rsidRPr="001C2C75" w:rsidTr="001C2C75">
        <w:trPr>
          <w:trHeight w:val="53"/>
        </w:trPr>
        <w:tc>
          <w:tcPr>
            <w:tcW w:w="2242" w:type="dxa"/>
            <w:vMerge/>
          </w:tcPr>
          <w:p w:rsidR="001C2C75" w:rsidRPr="001C2C75" w:rsidRDefault="001C2C75" w:rsidP="001C2C75">
            <w:pPr>
              <w:rPr>
                <w:rFonts w:ascii="Arial" w:hAnsi="Arial" w:cs="Arial"/>
                <w:noProof/>
                <w:sz w:val="20"/>
                <w:szCs w:val="20"/>
                <w:lang w:val="en-US"/>
              </w:rPr>
            </w:pPr>
          </w:p>
        </w:tc>
        <w:tc>
          <w:tcPr>
            <w:tcW w:w="1083" w:type="dxa"/>
            <w:vMerge/>
          </w:tcPr>
          <w:p w:rsidR="001C2C75" w:rsidRPr="001C2C75" w:rsidRDefault="001C2C75" w:rsidP="001C2C75">
            <w:pPr>
              <w:jc w:val="both"/>
              <w:rPr>
                <w:rFonts w:ascii="Arial" w:hAnsi="Arial" w:cs="Arial"/>
                <w:noProof/>
                <w:sz w:val="20"/>
                <w:szCs w:val="20"/>
                <w:lang w:val="en-US"/>
              </w:rPr>
            </w:pPr>
          </w:p>
        </w:tc>
        <w:tc>
          <w:tcPr>
            <w:tcW w:w="1530" w:type="dxa"/>
            <w:vMerge/>
          </w:tcPr>
          <w:p w:rsidR="001C2C75" w:rsidRPr="001C2C75" w:rsidRDefault="001C2C75" w:rsidP="001C2C75">
            <w:pPr>
              <w:jc w:val="both"/>
              <w:rPr>
                <w:rFonts w:ascii="Arial" w:hAnsi="Arial" w:cs="Arial"/>
                <w:noProof/>
                <w:sz w:val="20"/>
                <w:szCs w:val="20"/>
                <w:highlight w:val="green"/>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auto"/>
          </w:tcPr>
          <w:p w:rsidR="001C2C75" w:rsidRPr="001C2C75" w:rsidRDefault="001C2C75" w:rsidP="001C2C75">
            <w:pPr>
              <w:jc w:val="both"/>
              <w:rPr>
                <w:rFonts w:ascii="Arial" w:hAnsi="Arial" w:cs="Arial"/>
                <w:noProof/>
                <w:sz w:val="20"/>
                <w:szCs w:val="20"/>
                <w:lang w:val="en-US"/>
              </w:rPr>
            </w:pPr>
          </w:p>
        </w:tc>
        <w:tc>
          <w:tcPr>
            <w:tcW w:w="360" w:type="dxa"/>
            <w:shd w:val="clear" w:color="auto" w:fill="00FFFF"/>
          </w:tcPr>
          <w:p w:rsidR="001C2C75" w:rsidRPr="001C2C75" w:rsidRDefault="001C2C75" w:rsidP="001C2C75">
            <w:pPr>
              <w:jc w:val="both"/>
              <w:rPr>
                <w:rFonts w:ascii="Arial" w:hAnsi="Arial" w:cs="Arial"/>
                <w:noProof/>
                <w:sz w:val="20"/>
                <w:szCs w:val="20"/>
                <w:lang w:val="en-US"/>
              </w:rPr>
            </w:pPr>
          </w:p>
        </w:tc>
        <w:tc>
          <w:tcPr>
            <w:tcW w:w="360" w:type="dxa"/>
            <w:shd w:val="clear" w:color="auto" w:fill="00FFFF"/>
          </w:tcPr>
          <w:p w:rsidR="001C2C75" w:rsidRPr="001C2C75" w:rsidRDefault="001C2C75" w:rsidP="001C2C75">
            <w:pPr>
              <w:jc w:val="both"/>
              <w:rPr>
                <w:rFonts w:ascii="Arial" w:hAnsi="Arial" w:cs="Arial"/>
                <w:noProof/>
                <w:sz w:val="20"/>
                <w:szCs w:val="20"/>
                <w:lang w:val="en-US"/>
              </w:rPr>
            </w:pPr>
          </w:p>
        </w:tc>
        <w:tc>
          <w:tcPr>
            <w:tcW w:w="360" w:type="dxa"/>
            <w:shd w:val="clear" w:color="auto" w:fill="00FFFF"/>
          </w:tcPr>
          <w:p w:rsidR="001C2C75" w:rsidRPr="001C2C75" w:rsidRDefault="001C2C75" w:rsidP="001C2C75">
            <w:pPr>
              <w:jc w:val="both"/>
              <w:rPr>
                <w:rFonts w:ascii="Arial" w:hAnsi="Arial" w:cs="Arial"/>
                <w:noProof/>
                <w:sz w:val="20"/>
                <w:szCs w:val="20"/>
                <w:lang w:val="en-US"/>
              </w:rPr>
            </w:pPr>
          </w:p>
        </w:tc>
        <w:tc>
          <w:tcPr>
            <w:tcW w:w="360" w:type="dxa"/>
            <w:shd w:val="clear" w:color="auto" w:fill="00FFFF"/>
          </w:tcPr>
          <w:p w:rsidR="001C2C75" w:rsidRPr="001C2C75" w:rsidRDefault="001C2C75" w:rsidP="001C2C75">
            <w:pPr>
              <w:jc w:val="both"/>
              <w:rPr>
                <w:rFonts w:ascii="Arial" w:hAnsi="Arial" w:cs="Arial"/>
                <w:noProof/>
                <w:sz w:val="20"/>
                <w:szCs w:val="20"/>
                <w:lang w:val="en-US"/>
              </w:rPr>
            </w:pPr>
          </w:p>
        </w:tc>
        <w:tc>
          <w:tcPr>
            <w:tcW w:w="360" w:type="dxa"/>
            <w:shd w:val="clear" w:color="auto" w:fill="00FFFF"/>
          </w:tcPr>
          <w:p w:rsidR="001C2C75" w:rsidRPr="001C2C75" w:rsidRDefault="001C2C75" w:rsidP="001C2C75">
            <w:pPr>
              <w:jc w:val="both"/>
              <w:rPr>
                <w:rFonts w:ascii="Arial" w:hAnsi="Arial" w:cs="Arial"/>
                <w:noProof/>
                <w:sz w:val="8"/>
                <w:szCs w:val="8"/>
                <w:lang w:val="en-US"/>
              </w:rPr>
            </w:pPr>
          </w:p>
        </w:tc>
        <w:tc>
          <w:tcPr>
            <w:tcW w:w="360" w:type="dxa"/>
            <w:shd w:val="clear" w:color="auto" w:fill="00FFFF"/>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shd w:val="clear" w:color="auto" w:fill="auto"/>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c>
          <w:tcPr>
            <w:tcW w:w="360" w:type="dxa"/>
          </w:tcPr>
          <w:p w:rsidR="001C2C75" w:rsidRPr="001C2C75" w:rsidRDefault="001C2C75" w:rsidP="001C2C75">
            <w:pPr>
              <w:jc w:val="both"/>
              <w:rPr>
                <w:rFonts w:ascii="Arial" w:hAnsi="Arial" w:cs="Arial"/>
                <w:noProof/>
                <w:sz w:val="8"/>
                <w:szCs w:val="8"/>
                <w:lang w:val="en-US"/>
              </w:rPr>
            </w:pPr>
          </w:p>
        </w:tc>
      </w:tr>
      <w:tr w:rsidR="001C2C75" w:rsidRPr="001C2C75" w:rsidTr="001C2C75">
        <w:trPr>
          <w:trHeight w:val="53"/>
        </w:trPr>
        <w:tc>
          <w:tcPr>
            <w:tcW w:w="2242" w:type="dxa"/>
            <w:vMerge w:val="restart"/>
          </w:tcPr>
          <w:p w:rsidR="001C2C75" w:rsidRDefault="001C2C75" w:rsidP="001C2C75">
            <w:pPr>
              <w:rPr>
                <w:rFonts w:ascii="Arial" w:hAnsi="Arial" w:cs="Arial"/>
                <w:noProof/>
                <w:sz w:val="20"/>
                <w:szCs w:val="20"/>
                <w:lang w:val="es-US"/>
              </w:rPr>
            </w:pPr>
            <w:r>
              <w:rPr>
                <w:rFonts w:ascii="Arial" w:hAnsi="Arial" w:cs="Arial"/>
                <w:noProof/>
                <w:sz w:val="20"/>
                <w:szCs w:val="20"/>
                <w:lang w:val="es-US"/>
              </w:rPr>
              <w:t>Adquisición y Realojo</w:t>
            </w:r>
          </w:p>
          <w:p w:rsidR="001C2C75" w:rsidRPr="001C2C75" w:rsidRDefault="001C2C75" w:rsidP="001C2C75">
            <w:pPr>
              <w:rPr>
                <w:rFonts w:ascii="Arial" w:hAnsi="Arial" w:cs="Arial"/>
                <w:b/>
                <w:noProof/>
                <w:sz w:val="20"/>
                <w:szCs w:val="20"/>
                <w:lang w:val="es-US"/>
              </w:rPr>
            </w:pPr>
            <w:r w:rsidRPr="001C2C75">
              <w:rPr>
                <w:rFonts w:ascii="Arial" w:hAnsi="Arial" w:cs="Arial"/>
                <w:b/>
                <w:noProof/>
                <w:sz w:val="20"/>
                <w:szCs w:val="20"/>
                <w:lang w:val="es-US"/>
              </w:rPr>
              <w:t>Sur</w:t>
            </w:r>
          </w:p>
        </w:tc>
        <w:tc>
          <w:tcPr>
            <w:tcW w:w="1083" w:type="dxa"/>
            <w:vMerge w:val="restart"/>
          </w:tcPr>
          <w:p w:rsidR="001C2C75" w:rsidRDefault="001C2C75" w:rsidP="001C2C75">
            <w:pPr>
              <w:jc w:val="both"/>
              <w:rPr>
                <w:rFonts w:ascii="Arial" w:hAnsi="Arial" w:cs="Arial"/>
                <w:noProof/>
                <w:sz w:val="20"/>
                <w:szCs w:val="20"/>
                <w:lang w:val="es-US"/>
              </w:rPr>
            </w:pPr>
            <w:r>
              <w:rPr>
                <w:rFonts w:ascii="Arial" w:hAnsi="Arial" w:cs="Arial"/>
                <w:noProof/>
                <w:sz w:val="20"/>
                <w:szCs w:val="20"/>
                <w:lang w:val="es-US"/>
              </w:rPr>
              <w:t>$1.5MM</w:t>
            </w:r>
          </w:p>
        </w:tc>
        <w:tc>
          <w:tcPr>
            <w:tcW w:w="1530" w:type="dxa"/>
            <w:vMerge w:val="restart"/>
          </w:tcPr>
          <w:p w:rsidR="001C2C75" w:rsidRPr="001C2C75" w:rsidRDefault="001C2C75" w:rsidP="001C2C75">
            <w:pPr>
              <w:jc w:val="both"/>
              <w:rPr>
                <w:rFonts w:ascii="Arial" w:hAnsi="Arial" w:cs="Arial"/>
                <w:noProof/>
                <w:sz w:val="20"/>
                <w:szCs w:val="20"/>
                <w:highlight w:val="magenta"/>
                <w:lang w:val="es-US"/>
              </w:rPr>
            </w:pPr>
            <w:r w:rsidRPr="001C2C75">
              <w:rPr>
                <w:rFonts w:ascii="Arial" w:hAnsi="Arial" w:cs="Arial"/>
                <w:noProof/>
                <w:sz w:val="20"/>
                <w:szCs w:val="20"/>
                <w:highlight w:val="magenta"/>
                <w:lang w:val="es-US"/>
              </w:rPr>
              <w:t>1yr remaining execution time</w:t>
            </w:r>
          </w:p>
        </w:tc>
        <w:tc>
          <w:tcPr>
            <w:tcW w:w="360" w:type="dxa"/>
            <w:shd w:val="clear" w:color="auto" w:fill="FF33CC"/>
          </w:tcPr>
          <w:p w:rsidR="001C2C75" w:rsidRPr="001C2C75" w:rsidRDefault="001C2C75" w:rsidP="001C2C75">
            <w:pPr>
              <w:jc w:val="both"/>
              <w:rPr>
                <w:rFonts w:ascii="Arial" w:hAnsi="Arial" w:cs="Arial"/>
                <w:noProof/>
                <w:sz w:val="20"/>
                <w:szCs w:val="20"/>
                <w:lang w:val="es-US"/>
              </w:rPr>
            </w:pPr>
          </w:p>
        </w:tc>
        <w:tc>
          <w:tcPr>
            <w:tcW w:w="360" w:type="dxa"/>
            <w:shd w:val="clear" w:color="auto" w:fill="FF33CC"/>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253E6">
        <w:trPr>
          <w:trHeight w:val="53"/>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253E6">
        <w:trPr>
          <w:trHeight w:val="53"/>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3"/>
        </w:trPr>
        <w:tc>
          <w:tcPr>
            <w:tcW w:w="2242" w:type="dxa"/>
            <w:vMerge w:val="restart"/>
          </w:tcPr>
          <w:p w:rsidR="001C2C75" w:rsidRDefault="001C2C75" w:rsidP="001C2C75">
            <w:pPr>
              <w:rPr>
                <w:rFonts w:ascii="Arial" w:hAnsi="Arial" w:cs="Arial"/>
                <w:noProof/>
                <w:sz w:val="20"/>
                <w:szCs w:val="20"/>
                <w:lang w:val="es-US"/>
              </w:rPr>
            </w:pPr>
            <w:r>
              <w:rPr>
                <w:rFonts w:ascii="Arial" w:hAnsi="Arial" w:cs="Arial"/>
                <w:noProof/>
                <w:sz w:val="20"/>
                <w:szCs w:val="20"/>
                <w:lang w:val="es-US"/>
              </w:rPr>
              <w:t xml:space="preserve">Construcción de Paseo Lineal </w:t>
            </w:r>
            <w:r w:rsidRPr="001C2C75">
              <w:rPr>
                <w:rFonts w:ascii="Arial" w:hAnsi="Arial" w:cs="Arial"/>
                <w:b/>
                <w:noProof/>
                <w:sz w:val="20"/>
                <w:szCs w:val="20"/>
                <w:lang w:val="es-US"/>
              </w:rPr>
              <w:t>Norte</w:t>
            </w:r>
          </w:p>
        </w:tc>
        <w:tc>
          <w:tcPr>
            <w:tcW w:w="1083" w:type="dxa"/>
            <w:vMerge w:val="restart"/>
          </w:tcPr>
          <w:p w:rsidR="001C2C75" w:rsidRDefault="001C2C75" w:rsidP="001C2C75">
            <w:pPr>
              <w:jc w:val="both"/>
              <w:rPr>
                <w:rFonts w:ascii="Arial" w:hAnsi="Arial" w:cs="Arial"/>
                <w:noProof/>
                <w:sz w:val="20"/>
                <w:szCs w:val="20"/>
                <w:lang w:val="es-US"/>
              </w:rPr>
            </w:pPr>
            <w:r>
              <w:rPr>
                <w:rFonts w:ascii="Arial" w:hAnsi="Arial" w:cs="Arial"/>
                <w:noProof/>
                <w:sz w:val="20"/>
                <w:szCs w:val="20"/>
                <w:lang w:val="es-US"/>
              </w:rPr>
              <w:t>$2.0MM</w:t>
            </w:r>
          </w:p>
        </w:tc>
        <w:tc>
          <w:tcPr>
            <w:tcW w:w="1530" w:type="dxa"/>
            <w:vMerge w:val="restart"/>
          </w:tcPr>
          <w:p w:rsidR="001C2C75" w:rsidRDefault="001C2C75" w:rsidP="001C2C75">
            <w:pPr>
              <w:jc w:val="both"/>
              <w:rPr>
                <w:rFonts w:ascii="Arial" w:hAnsi="Arial" w:cs="Arial"/>
                <w:noProof/>
                <w:sz w:val="20"/>
                <w:szCs w:val="20"/>
                <w:highlight w:val="green"/>
                <w:lang w:val="es-US"/>
              </w:rPr>
            </w:pPr>
            <w:r>
              <w:rPr>
                <w:rFonts w:ascii="Arial" w:hAnsi="Arial" w:cs="Arial"/>
                <w:noProof/>
                <w:sz w:val="20"/>
                <w:szCs w:val="20"/>
                <w:highlight w:val="green"/>
                <w:lang w:val="es-US"/>
              </w:rPr>
              <w:t>2yr diseño</w:t>
            </w:r>
          </w:p>
          <w:p w:rsidR="001C2C75" w:rsidRPr="001C2C75" w:rsidRDefault="001C2C75" w:rsidP="001C2C75">
            <w:pPr>
              <w:jc w:val="both"/>
              <w:rPr>
                <w:rFonts w:ascii="Arial" w:hAnsi="Arial" w:cs="Arial"/>
                <w:noProof/>
                <w:sz w:val="20"/>
                <w:szCs w:val="20"/>
                <w:highlight w:val="yellow"/>
                <w:lang w:val="es-US"/>
              </w:rPr>
            </w:pPr>
            <w:r w:rsidRPr="001C2C75">
              <w:rPr>
                <w:rFonts w:ascii="Arial" w:hAnsi="Arial" w:cs="Arial"/>
                <w:noProof/>
                <w:sz w:val="20"/>
                <w:szCs w:val="20"/>
                <w:highlight w:val="yellow"/>
                <w:lang w:val="es-US"/>
              </w:rPr>
              <w:t>0.5yr permits</w:t>
            </w:r>
          </w:p>
          <w:p w:rsidR="001C2C75" w:rsidRDefault="001C2C75" w:rsidP="001C2C75">
            <w:pPr>
              <w:jc w:val="both"/>
              <w:rPr>
                <w:rFonts w:ascii="Arial" w:hAnsi="Arial" w:cs="Arial"/>
                <w:noProof/>
                <w:sz w:val="20"/>
                <w:szCs w:val="20"/>
                <w:highlight w:val="green"/>
                <w:lang w:val="es-US"/>
              </w:rPr>
            </w:pPr>
            <w:r>
              <w:rPr>
                <w:rFonts w:ascii="Arial" w:hAnsi="Arial" w:cs="Arial"/>
                <w:noProof/>
                <w:sz w:val="20"/>
                <w:szCs w:val="20"/>
                <w:highlight w:val="cyan"/>
                <w:lang w:val="es-US"/>
              </w:rPr>
              <w:t>2</w:t>
            </w:r>
            <w:r w:rsidRPr="001C2C75">
              <w:rPr>
                <w:rFonts w:ascii="Arial" w:hAnsi="Arial" w:cs="Arial"/>
                <w:noProof/>
                <w:sz w:val="20"/>
                <w:szCs w:val="20"/>
                <w:highlight w:val="cyan"/>
                <w:lang w:val="es-US"/>
              </w:rPr>
              <w:t>yr const.</w:t>
            </w: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8"/>
                <w:szCs w:val="8"/>
                <w:lang w:val="es-US"/>
              </w:rPr>
            </w:pPr>
          </w:p>
        </w:tc>
        <w:tc>
          <w:tcPr>
            <w:tcW w:w="360" w:type="dxa"/>
            <w:shd w:val="clear" w:color="auto" w:fill="00FF00"/>
          </w:tcPr>
          <w:p w:rsidR="001C2C75" w:rsidRPr="001C2C75" w:rsidRDefault="001C2C75" w:rsidP="001C2C75">
            <w:pPr>
              <w:jc w:val="both"/>
              <w:rPr>
                <w:rFonts w:ascii="Arial" w:hAnsi="Arial" w:cs="Arial"/>
                <w:noProof/>
                <w:sz w:val="8"/>
                <w:szCs w:val="8"/>
                <w:lang w:val="es-US"/>
              </w:rPr>
            </w:pPr>
          </w:p>
        </w:tc>
        <w:tc>
          <w:tcPr>
            <w:tcW w:w="360" w:type="dxa"/>
            <w:shd w:val="clear" w:color="auto" w:fill="00FF00"/>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3"/>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FFFF00"/>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c>
          <w:tcPr>
            <w:tcW w:w="360" w:type="dxa"/>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3"/>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3"/>
        </w:trPr>
        <w:tc>
          <w:tcPr>
            <w:tcW w:w="2242" w:type="dxa"/>
            <w:vMerge w:val="restart"/>
          </w:tcPr>
          <w:p w:rsidR="001C2C75" w:rsidRDefault="001C2C75" w:rsidP="001C2C75">
            <w:pPr>
              <w:rPr>
                <w:rFonts w:ascii="Arial" w:hAnsi="Arial" w:cs="Arial"/>
                <w:noProof/>
                <w:sz w:val="20"/>
                <w:szCs w:val="20"/>
                <w:lang w:val="es-US"/>
              </w:rPr>
            </w:pPr>
            <w:r>
              <w:rPr>
                <w:rFonts w:ascii="Arial" w:hAnsi="Arial" w:cs="Arial"/>
                <w:noProof/>
                <w:sz w:val="20"/>
                <w:szCs w:val="20"/>
                <w:lang w:val="es-US"/>
              </w:rPr>
              <w:t>Mejoras Geométricas y Pluviales Avenida A y Calle Constitución</w:t>
            </w:r>
          </w:p>
        </w:tc>
        <w:tc>
          <w:tcPr>
            <w:tcW w:w="1083" w:type="dxa"/>
            <w:vMerge w:val="restart"/>
          </w:tcPr>
          <w:p w:rsidR="001C2C75" w:rsidRDefault="001C2C75" w:rsidP="001C2C75">
            <w:pPr>
              <w:jc w:val="both"/>
              <w:rPr>
                <w:rFonts w:ascii="Arial" w:hAnsi="Arial" w:cs="Arial"/>
                <w:noProof/>
                <w:sz w:val="20"/>
                <w:szCs w:val="20"/>
                <w:lang w:val="es-US"/>
              </w:rPr>
            </w:pPr>
            <w:r>
              <w:rPr>
                <w:rFonts w:ascii="Arial" w:hAnsi="Arial" w:cs="Arial"/>
                <w:noProof/>
                <w:sz w:val="20"/>
                <w:szCs w:val="20"/>
                <w:lang w:val="es-US"/>
              </w:rPr>
              <w:t>$2.0MM</w:t>
            </w:r>
          </w:p>
        </w:tc>
        <w:tc>
          <w:tcPr>
            <w:tcW w:w="1530" w:type="dxa"/>
            <w:vMerge w:val="restart"/>
          </w:tcPr>
          <w:p w:rsidR="001C2C75" w:rsidRDefault="001C2C75" w:rsidP="001C2C75">
            <w:pPr>
              <w:jc w:val="both"/>
              <w:rPr>
                <w:rFonts w:ascii="Arial" w:hAnsi="Arial" w:cs="Arial"/>
                <w:noProof/>
                <w:sz w:val="20"/>
                <w:szCs w:val="20"/>
                <w:highlight w:val="green"/>
                <w:lang w:val="es-US"/>
              </w:rPr>
            </w:pPr>
            <w:r>
              <w:rPr>
                <w:rFonts w:ascii="Arial" w:hAnsi="Arial" w:cs="Arial"/>
                <w:noProof/>
                <w:sz w:val="20"/>
                <w:szCs w:val="20"/>
                <w:highlight w:val="green"/>
                <w:lang w:val="es-US"/>
              </w:rPr>
              <w:t>2</w:t>
            </w:r>
            <w:r>
              <w:rPr>
                <w:rFonts w:ascii="Arial" w:hAnsi="Arial" w:cs="Arial"/>
                <w:noProof/>
                <w:sz w:val="20"/>
                <w:szCs w:val="20"/>
                <w:highlight w:val="green"/>
                <w:lang w:val="es-US"/>
              </w:rPr>
              <w:t>yr diseño</w:t>
            </w:r>
          </w:p>
          <w:p w:rsidR="001C2C75" w:rsidRPr="001C2C75" w:rsidRDefault="001C2C75" w:rsidP="001C2C75">
            <w:pPr>
              <w:jc w:val="both"/>
              <w:rPr>
                <w:rFonts w:ascii="Arial" w:hAnsi="Arial" w:cs="Arial"/>
                <w:noProof/>
                <w:sz w:val="20"/>
                <w:szCs w:val="20"/>
                <w:highlight w:val="yellow"/>
                <w:lang w:val="es-US"/>
              </w:rPr>
            </w:pPr>
            <w:r w:rsidRPr="001C2C75">
              <w:rPr>
                <w:rFonts w:ascii="Arial" w:hAnsi="Arial" w:cs="Arial"/>
                <w:noProof/>
                <w:sz w:val="20"/>
                <w:szCs w:val="20"/>
                <w:highlight w:val="yellow"/>
                <w:lang w:val="es-US"/>
              </w:rPr>
              <w:t>0.5yr permits</w:t>
            </w:r>
          </w:p>
          <w:p w:rsidR="001C2C75" w:rsidRDefault="001C2C75" w:rsidP="001C2C75">
            <w:pPr>
              <w:jc w:val="both"/>
              <w:rPr>
                <w:rFonts w:ascii="Arial" w:hAnsi="Arial" w:cs="Arial"/>
                <w:noProof/>
                <w:sz w:val="20"/>
                <w:szCs w:val="20"/>
                <w:highlight w:val="green"/>
                <w:lang w:val="es-US"/>
              </w:rPr>
            </w:pPr>
            <w:r>
              <w:rPr>
                <w:rFonts w:ascii="Arial" w:hAnsi="Arial" w:cs="Arial"/>
                <w:noProof/>
                <w:sz w:val="20"/>
                <w:szCs w:val="20"/>
                <w:highlight w:val="cyan"/>
                <w:lang w:val="es-US"/>
              </w:rPr>
              <w:t>2</w:t>
            </w:r>
            <w:r w:rsidRPr="001C2C75">
              <w:rPr>
                <w:rFonts w:ascii="Arial" w:hAnsi="Arial" w:cs="Arial"/>
                <w:noProof/>
                <w:sz w:val="20"/>
                <w:szCs w:val="20"/>
                <w:highlight w:val="cyan"/>
                <w:lang w:val="es-US"/>
              </w:rPr>
              <w:t>yr const.</w:t>
            </w: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20"/>
                <w:szCs w:val="20"/>
                <w:lang w:val="es-US"/>
              </w:rPr>
            </w:pPr>
          </w:p>
        </w:tc>
        <w:tc>
          <w:tcPr>
            <w:tcW w:w="360" w:type="dxa"/>
            <w:shd w:val="clear" w:color="auto" w:fill="00FF00"/>
          </w:tcPr>
          <w:p w:rsidR="001C2C75" w:rsidRPr="001C2C75" w:rsidRDefault="001C2C75" w:rsidP="001C2C75">
            <w:pPr>
              <w:jc w:val="both"/>
              <w:rPr>
                <w:rFonts w:ascii="Arial" w:hAnsi="Arial" w:cs="Arial"/>
                <w:noProof/>
                <w:sz w:val="8"/>
                <w:szCs w:val="8"/>
                <w:lang w:val="es-US"/>
              </w:rPr>
            </w:pPr>
          </w:p>
        </w:tc>
        <w:tc>
          <w:tcPr>
            <w:tcW w:w="360" w:type="dxa"/>
            <w:shd w:val="clear" w:color="auto" w:fill="00FF00"/>
          </w:tcPr>
          <w:p w:rsidR="001C2C75" w:rsidRPr="001C2C75" w:rsidRDefault="001C2C75" w:rsidP="001C2C75">
            <w:pPr>
              <w:jc w:val="both"/>
              <w:rPr>
                <w:rFonts w:ascii="Arial" w:hAnsi="Arial" w:cs="Arial"/>
                <w:noProof/>
                <w:sz w:val="8"/>
                <w:szCs w:val="8"/>
                <w:lang w:val="es-US"/>
              </w:rPr>
            </w:pPr>
          </w:p>
        </w:tc>
        <w:tc>
          <w:tcPr>
            <w:tcW w:w="360" w:type="dxa"/>
            <w:shd w:val="clear" w:color="auto" w:fill="00FF00"/>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3"/>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FFFF00"/>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r>
      <w:tr w:rsidR="001C2C75" w:rsidRPr="001C2C75" w:rsidTr="001C2C75">
        <w:trPr>
          <w:trHeight w:val="53"/>
        </w:trPr>
        <w:tc>
          <w:tcPr>
            <w:tcW w:w="2242" w:type="dxa"/>
            <w:vMerge/>
          </w:tcPr>
          <w:p w:rsidR="001C2C75" w:rsidRDefault="001C2C75" w:rsidP="001C2C75">
            <w:pPr>
              <w:rPr>
                <w:rFonts w:ascii="Arial" w:hAnsi="Arial" w:cs="Arial"/>
                <w:noProof/>
                <w:sz w:val="20"/>
                <w:szCs w:val="20"/>
                <w:lang w:val="es-US"/>
              </w:rPr>
            </w:pPr>
          </w:p>
        </w:tc>
        <w:tc>
          <w:tcPr>
            <w:tcW w:w="1083" w:type="dxa"/>
            <w:vMerge/>
          </w:tcPr>
          <w:p w:rsidR="001C2C75" w:rsidRDefault="001C2C75" w:rsidP="001C2C75">
            <w:pPr>
              <w:jc w:val="both"/>
              <w:rPr>
                <w:rFonts w:ascii="Arial" w:hAnsi="Arial" w:cs="Arial"/>
                <w:noProof/>
                <w:sz w:val="20"/>
                <w:szCs w:val="20"/>
                <w:lang w:val="es-US"/>
              </w:rPr>
            </w:pPr>
          </w:p>
        </w:tc>
        <w:tc>
          <w:tcPr>
            <w:tcW w:w="1530" w:type="dxa"/>
            <w:vMerge/>
          </w:tcPr>
          <w:p w:rsidR="001C2C75" w:rsidRDefault="001C2C75" w:rsidP="001C2C75">
            <w:pPr>
              <w:jc w:val="both"/>
              <w:rPr>
                <w:rFonts w:ascii="Arial" w:hAnsi="Arial" w:cs="Arial"/>
                <w:noProof/>
                <w:sz w:val="20"/>
                <w:szCs w:val="20"/>
                <w:highlight w:val="green"/>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20"/>
                <w:szCs w:val="20"/>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auto"/>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c>
          <w:tcPr>
            <w:tcW w:w="360" w:type="dxa"/>
            <w:shd w:val="clear" w:color="auto" w:fill="00FFFF"/>
          </w:tcPr>
          <w:p w:rsidR="001C2C75" w:rsidRPr="001C2C75" w:rsidRDefault="001C2C75" w:rsidP="001C2C75">
            <w:pPr>
              <w:jc w:val="both"/>
              <w:rPr>
                <w:rFonts w:ascii="Arial" w:hAnsi="Arial" w:cs="Arial"/>
                <w:noProof/>
                <w:sz w:val="8"/>
                <w:szCs w:val="8"/>
                <w:lang w:val="es-US"/>
              </w:rPr>
            </w:pPr>
          </w:p>
        </w:tc>
      </w:tr>
      <w:tr w:rsidR="001C2C75" w:rsidRPr="001C2C75" w:rsidTr="00360676">
        <w:trPr>
          <w:trHeight w:val="53"/>
        </w:trPr>
        <w:tc>
          <w:tcPr>
            <w:tcW w:w="4855" w:type="dxa"/>
            <w:gridSpan w:val="3"/>
          </w:tcPr>
          <w:p w:rsidR="001C2C75" w:rsidRDefault="001C2C75" w:rsidP="001C2C75">
            <w:pPr>
              <w:jc w:val="both"/>
              <w:rPr>
                <w:rFonts w:ascii="Arial" w:hAnsi="Arial" w:cs="Arial"/>
                <w:noProof/>
                <w:sz w:val="20"/>
                <w:szCs w:val="20"/>
                <w:highlight w:val="green"/>
                <w:lang w:val="es-US"/>
              </w:rPr>
            </w:pPr>
            <w:r>
              <w:rPr>
                <w:rFonts w:ascii="Arial" w:hAnsi="Arial" w:cs="Arial"/>
                <w:noProof/>
                <w:sz w:val="20"/>
                <w:szCs w:val="20"/>
                <w:lang w:val="es-US"/>
              </w:rPr>
              <w:t>Inversión estimada anual (en millones)</w:t>
            </w:r>
          </w:p>
        </w:tc>
        <w:tc>
          <w:tcPr>
            <w:tcW w:w="720" w:type="dxa"/>
            <w:gridSpan w:val="2"/>
            <w:shd w:val="clear" w:color="auto" w:fill="auto"/>
            <w:vAlign w:val="bottom"/>
          </w:tcPr>
          <w:p w:rsidR="001C2C75" w:rsidRDefault="001C2C75" w:rsidP="001C2C75">
            <w:pPr>
              <w:jc w:val="center"/>
              <w:rPr>
                <w:rFonts w:ascii="Calibri" w:hAnsi="Calibri" w:cs="Calibri"/>
                <w:color w:val="000000"/>
                <w:lang w:val="es-US"/>
              </w:rPr>
            </w:pPr>
            <w:r>
              <w:rPr>
                <w:rFonts w:ascii="Calibri" w:hAnsi="Calibri" w:cs="Calibri"/>
                <w:color w:val="000000"/>
              </w:rPr>
              <w:t>1.85</w:t>
            </w:r>
          </w:p>
        </w:tc>
        <w:tc>
          <w:tcPr>
            <w:tcW w:w="720" w:type="dxa"/>
            <w:gridSpan w:val="2"/>
            <w:shd w:val="clear" w:color="auto" w:fill="auto"/>
            <w:vAlign w:val="bottom"/>
          </w:tcPr>
          <w:p w:rsidR="001C2C75" w:rsidRDefault="001C2C75" w:rsidP="001C2C75">
            <w:pPr>
              <w:jc w:val="center"/>
              <w:rPr>
                <w:rFonts w:ascii="Calibri" w:hAnsi="Calibri" w:cs="Calibri"/>
                <w:color w:val="000000"/>
              </w:rPr>
            </w:pPr>
            <w:r>
              <w:rPr>
                <w:rFonts w:ascii="Calibri" w:hAnsi="Calibri" w:cs="Calibri"/>
                <w:color w:val="000000"/>
              </w:rPr>
              <w:t>2.05</w:t>
            </w:r>
          </w:p>
        </w:tc>
        <w:tc>
          <w:tcPr>
            <w:tcW w:w="720" w:type="dxa"/>
            <w:gridSpan w:val="2"/>
            <w:shd w:val="clear" w:color="auto" w:fill="auto"/>
            <w:vAlign w:val="bottom"/>
          </w:tcPr>
          <w:p w:rsidR="001C2C75" w:rsidRDefault="001C2C75" w:rsidP="001C2C75">
            <w:pPr>
              <w:jc w:val="center"/>
              <w:rPr>
                <w:rFonts w:ascii="Calibri" w:hAnsi="Calibri" w:cs="Calibri"/>
                <w:color w:val="000000"/>
              </w:rPr>
            </w:pPr>
            <w:r>
              <w:rPr>
                <w:rFonts w:ascii="Calibri" w:hAnsi="Calibri" w:cs="Calibri"/>
                <w:color w:val="000000"/>
              </w:rPr>
              <w:t>4.5</w:t>
            </w:r>
          </w:p>
        </w:tc>
        <w:tc>
          <w:tcPr>
            <w:tcW w:w="720" w:type="dxa"/>
            <w:gridSpan w:val="2"/>
            <w:shd w:val="clear" w:color="auto" w:fill="auto"/>
            <w:vAlign w:val="bottom"/>
          </w:tcPr>
          <w:p w:rsidR="001C2C75" w:rsidRDefault="001C2C75" w:rsidP="001C2C75">
            <w:pPr>
              <w:jc w:val="center"/>
              <w:rPr>
                <w:rFonts w:ascii="Calibri" w:hAnsi="Calibri" w:cs="Calibri"/>
                <w:color w:val="000000"/>
              </w:rPr>
            </w:pPr>
            <w:r>
              <w:rPr>
                <w:rFonts w:ascii="Calibri" w:hAnsi="Calibri" w:cs="Calibri"/>
                <w:color w:val="000000"/>
              </w:rPr>
              <w:t>4.1</w:t>
            </w:r>
          </w:p>
        </w:tc>
        <w:tc>
          <w:tcPr>
            <w:tcW w:w="720" w:type="dxa"/>
            <w:gridSpan w:val="2"/>
            <w:shd w:val="clear" w:color="auto" w:fill="auto"/>
            <w:vAlign w:val="bottom"/>
          </w:tcPr>
          <w:p w:rsidR="001C2C75" w:rsidRDefault="001C2C75" w:rsidP="001C2C75">
            <w:pPr>
              <w:jc w:val="center"/>
              <w:rPr>
                <w:rFonts w:ascii="Calibri" w:hAnsi="Calibri" w:cs="Calibri"/>
                <w:color w:val="000000"/>
              </w:rPr>
            </w:pPr>
            <w:r>
              <w:rPr>
                <w:rFonts w:ascii="Calibri" w:hAnsi="Calibri" w:cs="Calibri"/>
                <w:color w:val="000000"/>
              </w:rPr>
              <w:t>2.9</w:t>
            </w:r>
          </w:p>
        </w:tc>
        <w:tc>
          <w:tcPr>
            <w:tcW w:w="720" w:type="dxa"/>
            <w:gridSpan w:val="2"/>
            <w:shd w:val="clear" w:color="auto" w:fill="auto"/>
            <w:vAlign w:val="bottom"/>
          </w:tcPr>
          <w:p w:rsidR="001C2C75" w:rsidRDefault="001C2C75" w:rsidP="001C2C75">
            <w:pPr>
              <w:jc w:val="center"/>
              <w:rPr>
                <w:rFonts w:ascii="Calibri" w:hAnsi="Calibri" w:cs="Calibri"/>
                <w:color w:val="000000"/>
              </w:rPr>
            </w:pPr>
            <w:r>
              <w:rPr>
                <w:rFonts w:ascii="Calibri" w:hAnsi="Calibri" w:cs="Calibri"/>
                <w:color w:val="000000"/>
              </w:rPr>
              <w:t>1.8</w:t>
            </w:r>
          </w:p>
        </w:tc>
        <w:tc>
          <w:tcPr>
            <w:tcW w:w="720" w:type="dxa"/>
            <w:gridSpan w:val="2"/>
            <w:shd w:val="clear" w:color="auto" w:fill="auto"/>
            <w:vAlign w:val="bottom"/>
          </w:tcPr>
          <w:p w:rsidR="001C2C75" w:rsidRDefault="001C2C75" w:rsidP="001C2C75">
            <w:pPr>
              <w:jc w:val="center"/>
              <w:rPr>
                <w:rFonts w:ascii="Calibri" w:hAnsi="Calibri" w:cs="Calibri"/>
                <w:color w:val="000000"/>
              </w:rPr>
            </w:pPr>
            <w:r>
              <w:rPr>
                <w:rFonts w:ascii="Calibri" w:hAnsi="Calibri" w:cs="Calibri"/>
                <w:color w:val="000000"/>
              </w:rPr>
              <w:t>1.8</w:t>
            </w:r>
          </w:p>
        </w:tc>
      </w:tr>
    </w:tbl>
    <w:p w:rsidR="001C2C75" w:rsidRDefault="001C2C75" w:rsidP="00D04F9D">
      <w:pPr>
        <w:spacing w:after="0"/>
        <w:ind w:firstLine="720"/>
        <w:jc w:val="both"/>
        <w:rPr>
          <w:rFonts w:ascii="Arial" w:hAnsi="Arial" w:cs="Arial"/>
          <w:noProof/>
          <w:sz w:val="24"/>
          <w:szCs w:val="24"/>
          <w:lang w:val="es-US"/>
        </w:rPr>
      </w:pP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 xml:space="preserve">Con una inversión aproximada de menos de $3MM anuales (promedio) por 7 años, lograríamos completar el plan vial, la provisión de infraestructura adecuada y las </w:t>
      </w:r>
      <w:r>
        <w:rPr>
          <w:rFonts w:ascii="Arial" w:hAnsi="Arial" w:cs="Arial"/>
          <w:noProof/>
          <w:sz w:val="24"/>
          <w:szCs w:val="24"/>
          <w:lang w:val="es-US"/>
        </w:rPr>
        <w:lastRenderedPageBreak/>
        <w:t>obras correspondientes al Proyecto Península de Cantera que viabilizan el dragado del Caño Martín Peña.</w:t>
      </w:r>
    </w:p>
    <w:p w:rsidR="001C2C75" w:rsidRDefault="001C2C75" w:rsidP="00D04F9D">
      <w:pPr>
        <w:spacing w:after="0"/>
        <w:ind w:firstLine="720"/>
        <w:jc w:val="both"/>
        <w:rPr>
          <w:rFonts w:ascii="Arial" w:hAnsi="Arial" w:cs="Arial"/>
          <w:noProof/>
          <w:sz w:val="24"/>
          <w:szCs w:val="24"/>
          <w:lang w:val="es-US"/>
        </w:rPr>
      </w:pPr>
    </w:p>
    <w:p w:rsidR="001C2C75" w:rsidRDefault="001C2C75" w:rsidP="00D04F9D">
      <w:pPr>
        <w:spacing w:after="0"/>
        <w:ind w:firstLine="720"/>
        <w:jc w:val="both"/>
        <w:rPr>
          <w:rFonts w:ascii="Arial" w:hAnsi="Arial" w:cs="Arial"/>
          <w:noProof/>
          <w:sz w:val="24"/>
          <w:szCs w:val="24"/>
          <w:lang w:val="es-US"/>
        </w:rPr>
      </w:pPr>
      <w:r>
        <w:rPr>
          <w:rFonts w:ascii="Arial" w:hAnsi="Arial" w:cs="Arial"/>
          <w:noProof/>
          <w:sz w:val="24"/>
          <w:szCs w:val="24"/>
          <w:lang w:val="es-US"/>
        </w:rPr>
        <w:t xml:space="preserve">Es menester señalar, que gran parte de la inversión previamente hecha en la adquisición y realojo de familias al sur de la Península de Cantera estaría en riesgo de no construirse el Paseo Lineal Sur, ya que asumiriamos el riesgo de que se ocupe nuevamente la servidumbre que fue adquirida. De otra parte, para poder completar liberar la servidumbre, se requiere la asignación de aproximadamente $1.5MM. </w:t>
      </w:r>
    </w:p>
    <w:p w:rsidR="001C2C75" w:rsidRDefault="001C2C75" w:rsidP="00D04F9D">
      <w:pPr>
        <w:spacing w:after="0"/>
        <w:ind w:firstLine="720"/>
        <w:jc w:val="both"/>
        <w:rPr>
          <w:rFonts w:ascii="Arial" w:hAnsi="Arial" w:cs="Arial"/>
          <w:noProof/>
          <w:sz w:val="24"/>
          <w:szCs w:val="24"/>
          <w:lang w:val="es-US"/>
        </w:rPr>
      </w:pPr>
    </w:p>
    <w:p w:rsidR="001C2C75" w:rsidRPr="001C2C75" w:rsidRDefault="001C2C75" w:rsidP="00D04F9D">
      <w:pPr>
        <w:spacing w:after="0"/>
        <w:ind w:firstLine="720"/>
        <w:jc w:val="both"/>
        <w:rPr>
          <w:rFonts w:ascii="Arial" w:hAnsi="Arial" w:cs="Arial"/>
          <w:i/>
          <w:noProof/>
          <w:sz w:val="24"/>
          <w:szCs w:val="24"/>
          <w:lang w:val="es-US"/>
        </w:rPr>
      </w:pPr>
      <w:r>
        <w:rPr>
          <w:rFonts w:ascii="Arial" w:hAnsi="Arial" w:cs="Arial"/>
          <w:noProof/>
          <w:sz w:val="24"/>
          <w:szCs w:val="24"/>
          <w:lang w:val="es-US"/>
        </w:rPr>
        <w:t>La implementación del Plan de Desarrollo Integral, en su Área de Desarrollo Físico descrita arriba, así como la puesta en marcha de programas de Desarrollo Humano, de manera sostenible que asegure la continuidad de los servicios aun cuando se haya disuelto la CDIPC, que es uno de los objetivos últimos de la Ley, supondrían el éxito del Proyecto Península de Cantera. Será con el apoyo de la administración entrante, asumiendo la gestión que queda encaminada y asumiendo los retos planteados, que lograremos la Comunidad de Cantera que se soño hace 20 años atrás.</w:t>
      </w:r>
    </w:p>
    <w:p w:rsidR="00F75C30" w:rsidRPr="00D04F9D" w:rsidRDefault="00F75C30" w:rsidP="00F75C30">
      <w:pPr>
        <w:spacing w:after="0" w:line="240" w:lineRule="auto"/>
        <w:jc w:val="both"/>
        <w:rPr>
          <w:rFonts w:ascii="Arial" w:hAnsi="Arial" w:cs="Arial"/>
          <w:noProof/>
          <w:sz w:val="24"/>
          <w:szCs w:val="24"/>
          <w:lang w:val="es-US"/>
        </w:rPr>
      </w:pPr>
    </w:p>
    <w:p w:rsidR="00F75C30" w:rsidRPr="0064332A" w:rsidRDefault="00F75C30" w:rsidP="00F75C30">
      <w:pPr>
        <w:spacing w:after="0" w:line="240" w:lineRule="auto"/>
        <w:jc w:val="both"/>
        <w:rPr>
          <w:rFonts w:ascii="Arial" w:hAnsi="Arial" w:cs="Arial"/>
          <w:noProof/>
          <w:sz w:val="24"/>
          <w:szCs w:val="24"/>
        </w:rPr>
      </w:pPr>
    </w:p>
    <w:p w:rsidR="00F75C30" w:rsidRPr="0064332A" w:rsidRDefault="00F75C30" w:rsidP="00F75C30">
      <w:pPr>
        <w:spacing w:after="0" w:line="240" w:lineRule="auto"/>
        <w:jc w:val="both"/>
        <w:rPr>
          <w:rFonts w:ascii="Arial" w:hAnsi="Arial" w:cs="Arial"/>
          <w:noProof/>
          <w:sz w:val="24"/>
          <w:szCs w:val="24"/>
        </w:rPr>
      </w:pPr>
      <w:r w:rsidRPr="0064332A">
        <w:rPr>
          <w:rFonts w:ascii="Arial" w:hAnsi="Arial" w:cs="Arial"/>
          <w:noProof/>
          <w:sz w:val="24"/>
          <w:szCs w:val="24"/>
        </w:rPr>
        <w:t>Cordialmente,</w:t>
      </w:r>
    </w:p>
    <w:p w:rsidR="00F75C30" w:rsidRPr="0064332A" w:rsidRDefault="00F75C30" w:rsidP="00F75C30">
      <w:pPr>
        <w:spacing w:after="0" w:line="240" w:lineRule="auto"/>
        <w:jc w:val="both"/>
        <w:rPr>
          <w:rFonts w:ascii="Arial" w:hAnsi="Arial" w:cs="Arial"/>
          <w:noProof/>
          <w:sz w:val="24"/>
          <w:szCs w:val="24"/>
        </w:rPr>
      </w:pPr>
    </w:p>
    <w:p w:rsidR="00F75C30" w:rsidRPr="0064332A" w:rsidRDefault="00F75C30" w:rsidP="00F75C30">
      <w:pPr>
        <w:spacing w:after="0" w:line="240" w:lineRule="auto"/>
        <w:jc w:val="both"/>
        <w:rPr>
          <w:rFonts w:ascii="Arial" w:hAnsi="Arial" w:cs="Arial"/>
          <w:noProof/>
          <w:sz w:val="24"/>
          <w:szCs w:val="24"/>
        </w:rPr>
      </w:pPr>
    </w:p>
    <w:p w:rsidR="00F75C30" w:rsidRPr="0064332A" w:rsidRDefault="00F75C30" w:rsidP="00F75C30">
      <w:pPr>
        <w:spacing w:after="0" w:line="240" w:lineRule="auto"/>
        <w:jc w:val="both"/>
        <w:rPr>
          <w:rFonts w:ascii="Arial" w:hAnsi="Arial" w:cs="Arial"/>
          <w:noProof/>
          <w:sz w:val="24"/>
          <w:szCs w:val="24"/>
        </w:rPr>
      </w:pPr>
    </w:p>
    <w:p w:rsidR="00F75C30" w:rsidRPr="0064332A" w:rsidRDefault="00F75C30" w:rsidP="00F75C30">
      <w:pPr>
        <w:spacing w:after="0" w:line="240" w:lineRule="auto"/>
        <w:jc w:val="both"/>
        <w:rPr>
          <w:rFonts w:ascii="Arial" w:hAnsi="Arial" w:cs="Arial"/>
          <w:noProof/>
          <w:sz w:val="24"/>
          <w:szCs w:val="24"/>
        </w:rPr>
      </w:pPr>
      <w:r w:rsidRPr="0064332A">
        <w:rPr>
          <w:rFonts w:ascii="Arial" w:hAnsi="Arial" w:cs="Arial"/>
          <w:noProof/>
          <w:sz w:val="24"/>
          <w:szCs w:val="24"/>
        </w:rPr>
        <w:t>Ing. Luis F. Cintrón Piñeiro, JD, PMP</w:t>
      </w:r>
    </w:p>
    <w:p w:rsidR="006F5A97" w:rsidRPr="0064332A" w:rsidRDefault="00F75C30" w:rsidP="00641492">
      <w:pPr>
        <w:spacing w:after="0" w:line="240" w:lineRule="auto"/>
        <w:jc w:val="both"/>
        <w:rPr>
          <w:rFonts w:ascii="Arial" w:hAnsi="Arial" w:cs="Arial"/>
          <w:noProof/>
          <w:sz w:val="24"/>
          <w:szCs w:val="24"/>
        </w:rPr>
      </w:pPr>
      <w:r w:rsidRPr="0064332A">
        <w:rPr>
          <w:rFonts w:ascii="Arial" w:hAnsi="Arial" w:cs="Arial"/>
          <w:noProof/>
          <w:sz w:val="24"/>
          <w:szCs w:val="24"/>
        </w:rPr>
        <w:t>Director Ejecutivo</w:t>
      </w:r>
      <w:bookmarkStart w:id="0" w:name="_GoBack"/>
      <w:bookmarkEnd w:id="0"/>
    </w:p>
    <w:sectPr w:rsidR="006F5A97" w:rsidRPr="0064332A" w:rsidSect="00F75C30">
      <w:headerReference w:type="default"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3E" w:rsidRDefault="00C54C3E" w:rsidP="00BC2B34">
      <w:pPr>
        <w:spacing w:after="0" w:line="240" w:lineRule="auto"/>
      </w:pPr>
      <w:r>
        <w:separator/>
      </w:r>
    </w:p>
  </w:endnote>
  <w:endnote w:type="continuationSeparator" w:id="0">
    <w:p w:rsidR="00C54C3E" w:rsidRDefault="00C54C3E" w:rsidP="00BC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723"/>
    </w:tblGrid>
    <w:tr w:rsidR="00BC2B34" w:rsidRPr="00E61A8E" w:rsidTr="006F7467">
      <w:trPr>
        <w:trHeight w:val="977"/>
      </w:trPr>
      <w:tc>
        <w:tcPr>
          <w:tcW w:w="2069" w:type="dxa"/>
          <w:tcBorders>
            <w:top w:val="single" w:sz="4" w:space="0" w:color="auto"/>
          </w:tcBorders>
        </w:tcPr>
        <w:p w:rsidR="00BC2B34" w:rsidRDefault="00BC2B34" w:rsidP="00BC2B34">
          <w:pPr>
            <w:autoSpaceDE w:val="0"/>
            <w:autoSpaceDN w:val="0"/>
            <w:adjustRightInd w:val="0"/>
            <w:rPr>
              <w:rFonts w:ascii="Goudy Old Style" w:hAnsi="Goudy Old Style" w:cs="Helvetica"/>
              <w:sz w:val="16"/>
              <w:szCs w:val="16"/>
              <w:lang w:val="es-ES"/>
            </w:rPr>
          </w:pPr>
          <w:r>
            <w:rPr>
              <w:rFonts w:ascii="Goudy Old Style" w:hAnsi="Goudy Old Style" w:cs="Helvetica"/>
              <w:sz w:val="16"/>
              <w:szCs w:val="16"/>
              <w:lang w:val="es-ES"/>
            </w:rPr>
            <w:t>PO Box 7187</w:t>
          </w:r>
        </w:p>
        <w:p w:rsidR="00BC2B34" w:rsidRPr="00ED364F" w:rsidRDefault="00BC2B34" w:rsidP="00BC2B34">
          <w:pPr>
            <w:autoSpaceDE w:val="0"/>
            <w:autoSpaceDN w:val="0"/>
            <w:adjustRightInd w:val="0"/>
            <w:rPr>
              <w:rFonts w:ascii="Goudy Old Style" w:hAnsi="Goudy Old Style" w:cs="Helvetica"/>
              <w:sz w:val="16"/>
              <w:szCs w:val="16"/>
              <w:lang w:val="es-ES"/>
            </w:rPr>
          </w:pPr>
          <w:r>
            <w:rPr>
              <w:rFonts w:ascii="Goudy Old Style" w:hAnsi="Goudy Old Style" w:cs="Helvetica"/>
              <w:sz w:val="16"/>
              <w:szCs w:val="16"/>
              <w:lang w:val="es-ES"/>
            </w:rPr>
            <w:t>San Juan, PR, 00916-7187</w:t>
          </w:r>
        </w:p>
        <w:p w:rsidR="00BC2B34" w:rsidRDefault="00BC2B34" w:rsidP="00BC2B34">
          <w:pPr>
            <w:autoSpaceDE w:val="0"/>
            <w:autoSpaceDN w:val="0"/>
            <w:adjustRightInd w:val="0"/>
            <w:rPr>
              <w:rFonts w:ascii="Goudy Old Style" w:hAnsi="Goudy Old Style" w:cs="Helvetica"/>
              <w:sz w:val="16"/>
              <w:szCs w:val="16"/>
              <w:lang w:val="es-ES"/>
            </w:rPr>
          </w:pPr>
          <w:r>
            <w:rPr>
              <w:rFonts w:ascii="Goudy Old Style" w:hAnsi="Goudy Old Style" w:cs="Helvetica"/>
              <w:sz w:val="16"/>
              <w:szCs w:val="16"/>
              <w:lang w:val="es-ES"/>
            </w:rPr>
            <w:t>Tel. 787.268.3138</w:t>
          </w:r>
        </w:p>
        <w:p w:rsidR="00BC2B34" w:rsidRPr="00545613" w:rsidRDefault="00BC2B34" w:rsidP="00BC2B34">
          <w:pPr>
            <w:autoSpaceDE w:val="0"/>
            <w:autoSpaceDN w:val="0"/>
            <w:adjustRightInd w:val="0"/>
            <w:rPr>
              <w:rFonts w:ascii="Goudy Old Style" w:hAnsi="Goudy Old Style" w:cs="Helvetica-Bold"/>
              <w:bCs/>
              <w:sz w:val="16"/>
              <w:szCs w:val="16"/>
              <w:lang w:val="es-ES"/>
            </w:rPr>
          </w:pPr>
          <w:r>
            <w:rPr>
              <w:rFonts w:ascii="Goudy Old Style" w:hAnsi="Goudy Old Style" w:cs="Helvetica"/>
              <w:sz w:val="16"/>
              <w:szCs w:val="16"/>
              <w:lang w:val="es-ES"/>
            </w:rPr>
            <w:t>Fax 787.727.0278</w:t>
          </w:r>
        </w:p>
      </w:tc>
      <w:tc>
        <w:tcPr>
          <w:tcW w:w="7723" w:type="dxa"/>
          <w:tcBorders>
            <w:top w:val="single" w:sz="4" w:space="0" w:color="auto"/>
          </w:tcBorders>
        </w:tcPr>
        <w:p w:rsidR="00BC2B34" w:rsidRPr="00545613" w:rsidRDefault="00252570" w:rsidP="00BC2B34">
          <w:pPr>
            <w:ind w:left="5335"/>
            <w:jc w:val="distribute"/>
            <w:rPr>
              <w:rFonts w:ascii="Goudy Old Style" w:hAnsi="Goudy Old Style"/>
              <w:sz w:val="20"/>
              <w:szCs w:val="20"/>
            </w:rPr>
          </w:pPr>
          <w:r w:rsidRPr="00545613">
            <w:rPr>
              <w:smallCaps/>
              <w:noProof/>
              <w:sz w:val="20"/>
              <w:szCs w:val="20"/>
              <w:lang w:val="es-US" w:eastAsia="es-US"/>
            </w:rPr>
            <w:drawing>
              <wp:anchor distT="0" distB="0" distL="114300" distR="114300" simplePos="0" relativeHeight="251661312" behindDoc="1" locked="0" layoutInCell="1" allowOverlap="1" wp14:anchorId="5676CB5D" wp14:editId="26649238">
                <wp:simplePos x="0" y="0"/>
                <wp:positionH relativeFrom="column">
                  <wp:posOffset>2256155</wp:posOffset>
                </wp:positionH>
                <wp:positionV relativeFrom="paragraph">
                  <wp:posOffset>36830</wp:posOffset>
                </wp:positionV>
                <wp:extent cx="1075037" cy="470488"/>
                <wp:effectExtent l="0" t="0" r="0" b="6350"/>
                <wp:wrapNone/>
                <wp:docPr id="3" name="Picture 1" descr="I:\cantera\soleci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tera\solecito.bmp"/>
                        <pic:cNvPicPr>
                          <a:picLocks noChangeAspect="1" noChangeArrowheads="1"/>
                        </pic:cNvPicPr>
                      </pic:nvPicPr>
                      <pic:blipFill>
                        <a:blip r:embed="rId1"/>
                        <a:srcRect b="22373"/>
                        <a:stretch>
                          <a:fillRect/>
                        </a:stretch>
                      </pic:blipFill>
                      <pic:spPr bwMode="auto">
                        <a:xfrm>
                          <a:off x="0" y="0"/>
                          <a:ext cx="1075037" cy="470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2B34" w:rsidRPr="00545613">
            <w:rPr>
              <w:rFonts w:ascii="Goudy Old Style" w:hAnsi="Goudy Old Style"/>
              <w:sz w:val="20"/>
              <w:szCs w:val="20"/>
            </w:rPr>
            <w:t>Compañía para el Desarrollo Integral de la Península de Cantera</w:t>
          </w:r>
        </w:p>
      </w:tc>
    </w:tr>
  </w:tbl>
  <w:p w:rsidR="00BC2B34" w:rsidRPr="00F75C30" w:rsidRDefault="00BC2B34">
    <w:pPr>
      <w:pStyle w:val="Footer"/>
      <w:rPr>
        <w:lang w:val="es-P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48"/>
    </w:tblGrid>
    <w:tr w:rsidR="00F75C30" w:rsidTr="00FF3A6C">
      <w:tc>
        <w:tcPr>
          <w:tcW w:w="1890" w:type="dxa"/>
          <w:tcBorders>
            <w:top w:val="single" w:sz="4" w:space="0" w:color="auto"/>
          </w:tcBorders>
        </w:tcPr>
        <w:p w:rsidR="00F75C30" w:rsidRDefault="00F75C30" w:rsidP="00F75C30">
          <w:pPr>
            <w:autoSpaceDE w:val="0"/>
            <w:autoSpaceDN w:val="0"/>
            <w:adjustRightInd w:val="0"/>
            <w:rPr>
              <w:rFonts w:ascii="Goudy Old Style" w:hAnsi="Goudy Old Style" w:cs="Helvetica"/>
              <w:sz w:val="16"/>
              <w:szCs w:val="16"/>
              <w:lang w:val="es-ES"/>
            </w:rPr>
          </w:pPr>
          <w:r>
            <w:rPr>
              <w:rFonts w:ascii="Goudy Old Style" w:hAnsi="Goudy Old Style" w:cs="Helvetica"/>
              <w:sz w:val="16"/>
              <w:szCs w:val="16"/>
              <w:lang w:val="es-ES"/>
            </w:rPr>
            <w:t>PO Box 7187</w:t>
          </w:r>
        </w:p>
        <w:p w:rsidR="00F75C30" w:rsidRPr="00ED364F" w:rsidRDefault="00F75C30" w:rsidP="00F75C30">
          <w:pPr>
            <w:autoSpaceDE w:val="0"/>
            <w:autoSpaceDN w:val="0"/>
            <w:adjustRightInd w:val="0"/>
            <w:rPr>
              <w:rFonts w:ascii="Goudy Old Style" w:hAnsi="Goudy Old Style" w:cs="Helvetica"/>
              <w:sz w:val="16"/>
              <w:szCs w:val="16"/>
              <w:lang w:val="es-ES"/>
            </w:rPr>
          </w:pPr>
          <w:r>
            <w:rPr>
              <w:rFonts w:ascii="Goudy Old Style" w:hAnsi="Goudy Old Style" w:cs="Helvetica"/>
              <w:sz w:val="16"/>
              <w:szCs w:val="16"/>
              <w:lang w:val="es-ES"/>
            </w:rPr>
            <w:t>San Juan, PR, 00916-7187</w:t>
          </w:r>
        </w:p>
        <w:p w:rsidR="00F75C30" w:rsidRDefault="00F75C30" w:rsidP="00F75C30">
          <w:pPr>
            <w:autoSpaceDE w:val="0"/>
            <w:autoSpaceDN w:val="0"/>
            <w:adjustRightInd w:val="0"/>
            <w:rPr>
              <w:rFonts w:ascii="Goudy Old Style" w:hAnsi="Goudy Old Style" w:cs="Helvetica"/>
              <w:sz w:val="16"/>
              <w:szCs w:val="16"/>
              <w:lang w:val="es-ES"/>
            </w:rPr>
          </w:pPr>
          <w:r>
            <w:rPr>
              <w:rFonts w:ascii="Goudy Old Style" w:hAnsi="Goudy Old Style" w:cs="Helvetica"/>
              <w:sz w:val="16"/>
              <w:szCs w:val="16"/>
              <w:lang w:val="es-ES"/>
            </w:rPr>
            <w:t>Tel. 787.268.3138</w:t>
          </w:r>
        </w:p>
        <w:p w:rsidR="00F75C30" w:rsidRPr="00545613" w:rsidRDefault="00F75C30" w:rsidP="00F75C30">
          <w:pPr>
            <w:autoSpaceDE w:val="0"/>
            <w:autoSpaceDN w:val="0"/>
            <w:adjustRightInd w:val="0"/>
            <w:rPr>
              <w:rFonts w:ascii="Goudy Old Style" w:hAnsi="Goudy Old Style" w:cs="Helvetica-Bold"/>
              <w:bCs/>
              <w:sz w:val="16"/>
              <w:szCs w:val="16"/>
              <w:lang w:val="es-ES"/>
            </w:rPr>
          </w:pPr>
          <w:r>
            <w:rPr>
              <w:rFonts w:ascii="Goudy Old Style" w:hAnsi="Goudy Old Style" w:cs="Helvetica"/>
              <w:sz w:val="16"/>
              <w:szCs w:val="16"/>
              <w:lang w:val="es-ES"/>
            </w:rPr>
            <w:t>Fax 787.727.0278</w:t>
          </w:r>
        </w:p>
      </w:tc>
      <w:tc>
        <w:tcPr>
          <w:tcW w:w="7448" w:type="dxa"/>
          <w:tcBorders>
            <w:top w:val="single" w:sz="4" w:space="0" w:color="auto"/>
          </w:tcBorders>
        </w:tcPr>
        <w:p w:rsidR="00F75C30" w:rsidRPr="00545613" w:rsidRDefault="00F75C30" w:rsidP="00F75C30">
          <w:pPr>
            <w:ind w:left="5335"/>
            <w:jc w:val="distribute"/>
            <w:rPr>
              <w:rFonts w:ascii="Goudy Old Style" w:hAnsi="Goudy Old Style"/>
              <w:sz w:val="20"/>
              <w:szCs w:val="20"/>
            </w:rPr>
          </w:pPr>
          <w:r w:rsidRPr="00545613">
            <w:rPr>
              <w:smallCaps/>
              <w:noProof/>
              <w:sz w:val="20"/>
              <w:szCs w:val="20"/>
              <w:lang w:val="es-US" w:eastAsia="es-US"/>
            </w:rPr>
            <w:drawing>
              <wp:anchor distT="0" distB="0" distL="114300" distR="114300" simplePos="0" relativeHeight="251663360" behindDoc="1" locked="0" layoutInCell="1" allowOverlap="1" wp14:anchorId="2F43832A" wp14:editId="4C0BC0F7">
                <wp:simplePos x="0" y="0"/>
                <wp:positionH relativeFrom="column">
                  <wp:posOffset>2246270</wp:posOffset>
                </wp:positionH>
                <wp:positionV relativeFrom="paragraph">
                  <wp:posOffset>51</wp:posOffset>
                </wp:positionV>
                <wp:extent cx="1075037" cy="470488"/>
                <wp:effectExtent l="0" t="0" r="0" b="6350"/>
                <wp:wrapNone/>
                <wp:docPr id="10" name="Picture 1" descr="I:\cantera\soleci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tera\solecito.bmp"/>
                        <pic:cNvPicPr>
                          <a:picLocks noChangeAspect="1" noChangeArrowheads="1"/>
                        </pic:cNvPicPr>
                      </pic:nvPicPr>
                      <pic:blipFill>
                        <a:blip r:embed="rId1"/>
                        <a:srcRect b="22373"/>
                        <a:stretch>
                          <a:fillRect/>
                        </a:stretch>
                      </pic:blipFill>
                      <pic:spPr bwMode="auto">
                        <a:xfrm>
                          <a:off x="0" y="0"/>
                          <a:ext cx="1076852" cy="4712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5613">
            <w:rPr>
              <w:rFonts w:ascii="Goudy Old Style" w:hAnsi="Goudy Old Style"/>
              <w:sz w:val="20"/>
              <w:szCs w:val="20"/>
            </w:rPr>
            <w:t>Compañía para el Desarrollo Integral de la Península de Cantera</w:t>
          </w:r>
        </w:p>
      </w:tc>
    </w:tr>
  </w:tbl>
  <w:p w:rsidR="00F75C30" w:rsidRPr="00F75C30" w:rsidRDefault="00F75C30">
    <w:pPr>
      <w:pStyle w:val="Foote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3E" w:rsidRDefault="00C54C3E" w:rsidP="00BC2B34">
      <w:pPr>
        <w:spacing w:after="0" w:line="240" w:lineRule="auto"/>
      </w:pPr>
      <w:r>
        <w:separator/>
      </w:r>
    </w:p>
  </w:footnote>
  <w:footnote w:type="continuationSeparator" w:id="0">
    <w:p w:rsidR="00C54C3E" w:rsidRDefault="00C54C3E" w:rsidP="00BC2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30" w:rsidRDefault="00F04366" w:rsidP="00F75C30">
    <w:pPr>
      <w:pBdr>
        <w:bottom w:val="single" w:sz="6" w:space="1" w:color="auto"/>
      </w:pBdr>
      <w:autoSpaceDE w:val="0"/>
      <w:autoSpaceDN w:val="0"/>
      <w:adjustRightInd w:val="0"/>
      <w:spacing w:after="0" w:line="240" w:lineRule="auto"/>
      <w:jc w:val="right"/>
      <w:rPr>
        <w:rFonts w:ascii="Goudy Old Style" w:hAnsi="Goudy Old Style" w:cs="Helvetica-Bold"/>
        <w:b/>
        <w:bCs/>
        <w:lang w:val="es-ES"/>
      </w:rPr>
    </w:pPr>
    <w:r>
      <w:rPr>
        <w:rFonts w:ascii="Goudy Old Style" w:hAnsi="Goudy Old Style" w:cs="Helvetica-Bold"/>
        <w:b/>
        <w:bCs/>
        <w:lang w:val="es-ES"/>
      </w:rPr>
      <w:t>Ponencia de Transición Gubernamental</w:t>
    </w:r>
  </w:p>
  <w:p w:rsidR="00F75C30" w:rsidRPr="00ED364F" w:rsidRDefault="00F04366" w:rsidP="00F75C30">
    <w:pPr>
      <w:pBdr>
        <w:bottom w:val="single" w:sz="6" w:space="1" w:color="auto"/>
      </w:pBdr>
      <w:autoSpaceDE w:val="0"/>
      <w:autoSpaceDN w:val="0"/>
      <w:adjustRightInd w:val="0"/>
      <w:spacing w:after="0" w:line="240" w:lineRule="auto"/>
      <w:jc w:val="right"/>
      <w:rPr>
        <w:rFonts w:ascii="Goudy Old Style" w:hAnsi="Goudy Old Style" w:cs="Helvetica-Bold"/>
        <w:b/>
        <w:bCs/>
        <w:lang w:val="es-ES"/>
      </w:rPr>
    </w:pPr>
    <w:r>
      <w:rPr>
        <w:rFonts w:ascii="Goudy Old Style" w:hAnsi="Goudy Old Style" w:cs="Helvetica-Bold"/>
        <w:b/>
        <w:bCs/>
        <w:lang w:val="es-ES"/>
      </w:rPr>
      <w:t>Departamento de Estado</w:t>
    </w:r>
  </w:p>
  <w:p w:rsidR="00F75C30" w:rsidRDefault="00F75C30" w:rsidP="00F75C30">
    <w:pPr>
      <w:pBdr>
        <w:bottom w:val="single" w:sz="6" w:space="1" w:color="auto"/>
      </w:pBdr>
      <w:autoSpaceDE w:val="0"/>
      <w:autoSpaceDN w:val="0"/>
      <w:adjustRightInd w:val="0"/>
      <w:spacing w:after="0" w:line="240" w:lineRule="auto"/>
      <w:jc w:val="right"/>
      <w:rPr>
        <w:rFonts w:ascii="Goudy Old Style" w:hAnsi="Goudy Old Style" w:cs="Helvetica-Bold"/>
        <w:bCs/>
        <w:lang w:val="es-ES"/>
      </w:rPr>
    </w:pPr>
    <w:r>
      <w:rPr>
        <w:rFonts w:ascii="Goudy Old Style" w:hAnsi="Goudy Old Style" w:cs="Helvetica-Bold"/>
        <w:bCs/>
        <w:lang w:val="es-ES"/>
      </w:rPr>
      <w:fldChar w:fldCharType="begin"/>
    </w:r>
    <w:r>
      <w:rPr>
        <w:rFonts w:ascii="Goudy Old Style" w:hAnsi="Goudy Old Style" w:cs="Helvetica-Bold"/>
        <w:bCs/>
        <w:lang w:val="es-ES"/>
      </w:rPr>
      <w:instrText xml:space="preserve"> DATE  \@ "dddd, dd' de 'MMMM' de 'yyyy"  \* MERGEFORMAT </w:instrText>
    </w:r>
    <w:r>
      <w:rPr>
        <w:rFonts w:ascii="Goudy Old Style" w:hAnsi="Goudy Old Style" w:cs="Helvetica-Bold"/>
        <w:bCs/>
        <w:lang w:val="es-ES"/>
      </w:rPr>
      <w:fldChar w:fldCharType="separate"/>
    </w:r>
    <w:r w:rsidR="001C2C75">
      <w:rPr>
        <w:rFonts w:ascii="Goudy Old Style" w:hAnsi="Goudy Old Style" w:cs="Helvetica-Bold"/>
        <w:bCs/>
        <w:noProof/>
        <w:lang w:val="es-ES"/>
      </w:rPr>
      <w:t>lunes, 31 de octubre de 2016</w:t>
    </w:r>
    <w:r>
      <w:rPr>
        <w:rFonts w:ascii="Goudy Old Style" w:hAnsi="Goudy Old Style" w:cs="Helvetica-Bold"/>
        <w:bCs/>
        <w:lang w:val="es-ES"/>
      </w:rPr>
      <w:fldChar w:fldCharType="end"/>
    </w:r>
  </w:p>
  <w:p w:rsidR="00F75C30" w:rsidRDefault="00F75C30" w:rsidP="00F75C30">
    <w:pPr>
      <w:pBdr>
        <w:bottom w:val="single" w:sz="6" w:space="1" w:color="auto"/>
      </w:pBdr>
      <w:autoSpaceDE w:val="0"/>
      <w:autoSpaceDN w:val="0"/>
      <w:adjustRightInd w:val="0"/>
      <w:spacing w:after="0" w:line="240" w:lineRule="auto"/>
      <w:jc w:val="right"/>
      <w:rPr>
        <w:rFonts w:ascii="Goudy Old Style" w:hAnsi="Goudy Old Style" w:cs="Helvetica-Bold"/>
        <w:bCs/>
        <w:lang w:val="es-ES"/>
      </w:rPr>
    </w:pPr>
    <w:r w:rsidRPr="00ED364F">
      <w:rPr>
        <w:rFonts w:ascii="Goudy Old Style" w:hAnsi="Goudy Old Style" w:cs="Helvetica-Bold"/>
        <w:bCs/>
        <w:lang w:val="es-ES"/>
      </w:rPr>
      <w:t xml:space="preserve">Página </w:t>
    </w:r>
    <w:r w:rsidRPr="00ED364F">
      <w:rPr>
        <w:rFonts w:ascii="Goudy Old Style" w:hAnsi="Goudy Old Style" w:cs="Helvetica-Bold"/>
        <w:bCs/>
        <w:lang w:val="es-ES"/>
      </w:rPr>
      <w:fldChar w:fldCharType="begin"/>
    </w:r>
    <w:r w:rsidRPr="00ED364F">
      <w:rPr>
        <w:rFonts w:ascii="Goudy Old Style" w:hAnsi="Goudy Old Style" w:cs="Helvetica-Bold"/>
        <w:bCs/>
        <w:lang w:val="es-ES"/>
      </w:rPr>
      <w:instrText xml:space="preserve"> PAGE   \* MERGEFORMAT </w:instrText>
    </w:r>
    <w:r w:rsidRPr="00ED364F">
      <w:rPr>
        <w:rFonts w:ascii="Goudy Old Style" w:hAnsi="Goudy Old Style" w:cs="Helvetica-Bold"/>
        <w:bCs/>
        <w:lang w:val="es-ES"/>
      </w:rPr>
      <w:fldChar w:fldCharType="separate"/>
    </w:r>
    <w:r w:rsidR="001C2C75">
      <w:rPr>
        <w:rFonts w:ascii="Goudy Old Style" w:hAnsi="Goudy Old Style" w:cs="Helvetica-Bold"/>
        <w:bCs/>
        <w:noProof/>
        <w:lang w:val="es-ES"/>
      </w:rPr>
      <w:t>5</w:t>
    </w:r>
    <w:r w:rsidRPr="00ED364F">
      <w:rPr>
        <w:rFonts w:ascii="Goudy Old Style" w:hAnsi="Goudy Old Style" w:cs="Helvetica-Bold"/>
        <w:bCs/>
        <w:lang w:val="es-ES"/>
      </w:rPr>
      <w:fldChar w:fldCharType="end"/>
    </w:r>
    <w:r w:rsidRPr="00ED364F">
      <w:rPr>
        <w:rFonts w:ascii="Goudy Old Style" w:hAnsi="Goudy Old Style" w:cs="Helvetica-Bold"/>
        <w:bCs/>
        <w:lang w:val="es-ES"/>
      </w:rPr>
      <w:t xml:space="preserve"> de </w:t>
    </w:r>
    <w:r>
      <w:rPr>
        <w:rFonts w:ascii="Goudy Old Style" w:hAnsi="Goudy Old Style" w:cs="Helvetica-Bold"/>
        <w:bCs/>
        <w:lang w:val="es-ES"/>
      </w:rPr>
      <w:fldChar w:fldCharType="begin"/>
    </w:r>
    <w:r>
      <w:rPr>
        <w:rFonts w:ascii="Goudy Old Style" w:hAnsi="Goudy Old Style" w:cs="Helvetica-Bold"/>
        <w:bCs/>
        <w:lang w:val="es-ES"/>
      </w:rPr>
      <w:instrText xml:space="preserve"> NUMPAGES   \* MERGEFORMAT </w:instrText>
    </w:r>
    <w:r>
      <w:rPr>
        <w:rFonts w:ascii="Goudy Old Style" w:hAnsi="Goudy Old Style" w:cs="Helvetica-Bold"/>
        <w:bCs/>
        <w:lang w:val="es-ES"/>
      </w:rPr>
      <w:fldChar w:fldCharType="separate"/>
    </w:r>
    <w:r w:rsidR="001C2C75">
      <w:rPr>
        <w:rFonts w:ascii="Goudy Old Style" w:hAnsi="Goudy Old Style" w:cs="Helvetica-Bold"/>
        <w:bCs/>
        <w:noProof/>
        <w:lang w:val="es-ES"/>
      </w:rPr>
      <w:t>5</w:t>
    </w:r>
    <w:r>
      <w:rPr>
        <w:rFonts w:ascii="Goudy Old Style" w:hAnsi="Goudy Old Style" w:cs="Helvetica-Bold"/>
        <w:bCs/>
        <w:lang w:val="es-ES"/>
      </w:rPr>
      <w:fldChar w:fldCharType="end"/>
    </w:r>
  </w:p>
  <w:p w:rsidR="00F75C30" w:rsidRPr="00F75C30" w:rsidRDefault="00F75C30" w:rsidP="00F75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30" w:rsidRDefault="00F75C30">
    <w:pPr>
      <w:pStyle w:val="Header"/>
    </w:pPr>
    <w:r>
      <w:rPr>
        <w:rFonts w:ascii="Goudy Old Style" w:hAnsi="Goudy Old Style"/>
        <w:b/>
        <w:noProof/>
        <w:sz w:val="31"/>
        <w:szCs w:val="31"/>
        <w:lang w:val="es-US" w:eastAsia="es-US"/>
      </w:rPr>
      <w:drawing>
        <wp:inline distT="0" distB="0" distL="0" distR="0" wp14:anchorId="08719466" wp14:editId="0856CD6C">
          <wp:extent cx="2751826" cy="900076"/>
          <wp:effectExtent l="0" t="0" r="0" b="0"/>
          <wp:docPr id="9" name="Picture 9" descr="C:\Users\Luis F. Cintr\Downloads\LogoELA-Final-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F. Cintr\Downloads\LogoELA-Final-lo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1826" cy="9000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2A"/>
    <w:rsid w:val="001C2C75"/>
    <w:rsid w:val="00252570"/>
    <w:rsid w:val="00273F4F"/>
    <w:rsid w:val="00294C8F"/>
    <w:rsid w:val="003405EA"/>
    <w:rsid w:val="0043177D"/>
    <w:rsid w:val="0048439F"/>
    <w:rsid w:val="005B6229"/>
    <w:rsid w:val="00641492"/>
    <w:rsid w:val="0064332A"/>
    <w:rsid w:val="006E6EFF"/>
    <w:rsid w:val="006F5A97"/>
    <w:rsid w:val="006F7467"/>
    <w:rsid w:val="00716431"/>
    <w:rsid w:val="00852720"/>
    <w:rsid w:val="00896144"/>
    <w:rsid w:val="009C1FF1"/>
    <w:rsid w:val="00AE1436"/>
    <w:rsid w:val="00B346E1"/>
    <w:rsid w:val="00BC2B34"/>
    <w:rsid w:val="00C22E73"/>
    <w:rsid w:val="00C54C3E"/>
    <w:rsid w:val="00C55A18"/>
    <w:rsid w:val="00C576C0"/>
    <w:rsid w:val="00CC2DB1"/>
    <w:rsid w:val="00CD2E7D"/>
    <w:rsid w:val="00CE5AEB"/>
    <w:rsid w:val="00D04F9D"/>
    <w:rsid w:val="00E65A55"/>
    <w:rsid w:val="00EC6B79"/>
    <w:rsid w:val="00F04366"/>
    <w:rsid w:val="00F25C1D"/>
    <w:rsid w:val="00F75C30"/>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E1EA5-7987-471E-9460-A14ED23C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67"/>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A97"/>
    <w:pPr>
      <w:spacing w:after="0" w:line="240" w:lineRule="auto"/>
    </w:pPr>
  </w:style>
  <w:style w:type="paragraph" w:styleId="Header">
    <w:name w:val="header"/>
    <w:basedOn w:val="Normal"/>
    <w:link w:val="HeaderChar"/>
    <w:uiPriority w:val="99"/>
    <w:unhideWhenUsed/>
    <w:rsid w:val="00BC2B3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C2B34"/>
  </w:style>
  <w:style w:type="paragraph" w:styleId="Footer">
    <w:name w:val="footer"/>
    <w:basedOn w:val="Normal"/>
    <w:link w:val="FooterChar"/>
    <w:uiPriority w:val="99"/>
    <w:unhideWhenUsed/>
    <w:rsid w:val="00BC2B3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C2B34"/>
  </w:style>
  <w:style w:type="table" w:styleId="TableGrid">
    <w:name w:val="Table Grid"/>
    <w:basedOn w:val="TableNormal"/>
    <w:uiPriority w:val="59"/>
    <w:rsid w:val="00BC2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NTRON\AppData\Local\Microsoft\Windows\INetCache\Content.Outlook\BTW8LMJ6\Papel%20Timbrado%20CDI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4B54936198A48BBA6BB310741C322" ma:contentTypeVersion="0" ma:contentTypeDescription="Create a new document." ma:contentTypeScope="" ma:versionID="9b24f4311423fb8b66796ebc1d54022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A5856-6FB0-48E6-A7F7-207563AC8CD1}"/>
</file>

<file path=customXml/itemProps2.xml><?xml version="1.0" encoding="utf-8"?>
<ds:datastoreItem xmlns:ds="http://schemas.openxmlformats.org/officeDocument/2006/customXml" ds:itemID="{2ADAC644-BB88-472A-9B92-2E14EC5943A7}"/>
</file>

<file path=customXml/itemProps3.xml><?xml version="1.0" encoding="utf-8"?>
<ds:datastoreItem xmlns:ds="http://schemas.openxmlformats.org/officeDocument/2006/customXml" ds:itemID="{BB4271FF-7474-4FA7-AC4E-91CDC9862561}"/>
</file>

<file path=docProps/app.xml><?xml version="1.0" encoding="utf-8"?>
<Properties xmlns="http://schemas.openxmlformats.org/officeDocument/2006/extended-properties" xmlns:vt="http://schemas.openxmlformats.org/officeDocument/2006/docPropsVTypes">
  <Template>Papel Timbrado CDIPC</Template>
  <TotalTime>339</TotalTime>
  <Pages>5</Pages>
  <Words>1750</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LCINTRON</dc:creator>
  <cp:keywords/>
  <dc:description/>
  <cp:lastModifiedBy>luis Cintron</cp:lastModifiedBy>
  <cp:revision>1</cp:revision>
  <cp:lastPrinted>2014-10-08T18:43:00Z</cp:lastPrinted>
  <dcterms:created xsi:type="dcterms:W3CDTF">2016-10-26T21:08:00Z</dcterms:created>
  <dcterms:modified xsi:type="dcterms:W3CDTF">2016-11-01T02:26:00Z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0x0101005804B54936198A48BBA6BB310741C322</vt:lpwstr>
  </property>
</Properties>
</file>